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829" w:rsidRDefault="00334829" w:rsidP="00334829">
      <w:pPr>
        <w:widowControl/>
        <w:jc w:val="center"/>
        <w:rPr>
          <w:rFonts w:ascii="Arial" w:hAnsi="Arial" w:cs="Arial"/>
          <w:b/>
          <w:bCs/>
          <w:sz w:val="36"/>
          <w:szCs w:val="36"/>
        </w:rPr>
      </w:pPr>
    </w:p>
    <w:p w:rsidR="00334829" w:rsidRDefault="00334829" w:rsidP="00334829">
      <w:pPr>
        <w:widowControl/>
        <w:jc w:val="center"/>
        <w:rPr>
          <w:rFonts w:ascii="Arial" w:hAnsi="Arial" w:cs="Arial"/>
          <w:b/>
          <w:bCs/>
          <w:sz w:val="36"/>
          <w:szCs w:val="36"/>
        </w:rPr>
      </w:pPr>
    </w:p>
    <w:p w:rsidR="00334829" w:rsidRDefault="00334829" w:rsidP="00334829">
      <w:pPr>
        <w:widowControl/>
        <w:jc w:val="center"/>
        <w:rPr>
          <w:rFonts w:ascii="Arial" w:hAnsi="Arial" w:cs="Arial"/>
          <w:b/>
          <w:bCs/>
          <w:sz w:val="36"/>
          <w:szCs w:val="36"/>
        </w:rPr>
      </w:pPr>
    </w:p>
    <w:p w:rsidR="00245D21" w:rsidRDefault="00334829" w:rsidP="00334829">
      <w:pPr>
        <w:widowControl/>
        <w:jc w:val="center"/>
        <w:rPr>
          <w:rFonts w:ascii="Arial" w:hAnsi="Arial" w:cs="Arial"/>
          <w:b/>
          <w:bCs/>
          <w:sz w:val="36"/>
          <w:szCs w:val="36"/>
        </w:rPr>
      </w:pPr>
      <w:r>
        <w:rPr>
          <w:rFonts w:ascii="Arial" w:hAnsi="Arial"/>
          <w:b/>
          <w:sz w:val="36"/>
        </w:rPr>
        <w:t>Inspections de la conformité des services aux personnes ayant une déficience intellectuelle (SPDI) : Liste des indicateurs</w:t>
      </w:r>
    </w:p>
    <w:p w:rsidR="000945DC" w:rsidRDefault="000945DC" w:rsidP="00334829">
      <w:pPr>
        <w:widowControl/>
        <w:jc w:val="center"/>
        <w:rPr>
          <w:rFonts w:ascii="Arial" w:hAnsi="Arial" w:cs="Arial"/>
          <w:b/>
          <w:bCs/>
          <w:sz w:val="36"/>
          <w:szCs w:val="36"/>
        </w:rPr>
      </w:pPr>
    </w:p>
    <w:p w:rsidR="000945DC" w:rsidRPr="00F504DE" w:rsidRDefault="000945DC" w:rsidP="00334829">
      <w:pPr>
        <w:widowControl/>
        <w:jc w:val="center"/>
        <w:rPr>
          <w:rFonts w:ascii="Arial" w:hAnsi="Arial" w:cs="Arial"/>
          <w:b/>
          <w:bCs/>
          <w:sz w:val="36"/>
          <w:szCs w:val="36"/>
        </w:rPr>
      </w:pPr>
      <w:r>
        <w:rPr>
          <w:rFonts w:ascii="Arial" w:hAnsi="Arial"/>
          <w:b/>
          <w:sz w:val="36"/>
        </w:rPr>
        <w:t xml:space="preserve">pour LES SERVICES AUX ADULTES AYANT UNE DÉFICIENCE INTELLECTUELLE </w:t>
      </w:r>
    </w:p>
    <w:p w:rsidR="00245D21" w:rsidRDefault="00245D21" w:rsidP="00245D21">
      <w:pPr>
        <w:ind w:right="2"/>
        <w:jc w:val="both"/>
        <w:rPr>
          <w:rFonts w:ascii="Arial" w:hAnsi="Arial" w:cs="Arial"/>
          <w:i/>
          <w:sz w:val="24"/>
          <w:szCs w:val="24"/>
        </w:rPr>
      </w:pPr>
    </w:p>
    <w:p w:rsidR="00245D21" w:rsidRPr="00F26D23" w:rsidRDefault="00245D21" w:rsidP="00334829">
      <w:pPr>
        <w:ind w:right="2"/>
        <w:jc w:val="center"/>
        <w:rPr>
          <w:rFonts w:ascii="Arial" w:hAnsi="Arial" w:cs="Arial"/>
          <w:b/>
          <w:bCs/>
          <w:sz w:val="28"/>
          <w:szCs w:val="28"/>
        </w:rPr>
      </w:pPr>
      <w:r>
        <w:rPr>
          <w:rFonts w:ascii="Arial" w:hAnsi="Arial"/>
          <w:sz w:val="28"/>
        </w:rPr>
        <w:t>Règlement de l’Ontario 299/10 (Mesures d’assurance de la qualité) et dire</w:t>
      </w:r>
      <w:r w:rsidR="00770A75">
        <w:rPr>
          <w:rFonts w:ascii="Arial" w:hAnsi="Arial"/>
          <w:sz w:val="28"/>
        </w:rPr>
        <w:t>ctives en matière de politique s’appliquant aux</w:t>
      </w:r>
      <w:r>
        <w:rPr>
          <w:rFonts w:ascii="Arial" w:hAnsi="Arial"/>
          <w:sz w:val="28"/>
        </w:rPr>
        <w:t xml:space="preserve"> organismes de service pris en application de la </w:t>
      </w:r>
      <w:r>
        <w:rPr>
          <w:rFonts w:ascii="Arial" w:hAnsi="Arial"/>
          <w:i/>
          <w:sz w:val="28"/>
        </w:rPr>
        <w:t>Loi de 2008 sur les services et soutiens favorisant l’inclusion sociale des personnes ayant une déficience intellectuelle</w:t>
      </w:r>
    </w:p>
    <w:p w:rsidR="00245D21" w:rsidRPr="00F26D23" w:rsidRDefault="00245D21" w:rsidP="00245D21">
      <w:pPr>
        <w:ind w:right="2"/>
        <w:jc w:val="both"/>
        <w:rPr>
          <w:rFonts w:ascii="Arial" w:hAnsi="Arial" w:cs="Arial"/>
          <w:b/>
          <w:bCs/>
          <w:sz w:val="28"/>
          <w:szCs w:val="28"/>
        </w:rPr>
      </w:pPr>
    </w:p>
    <w:p w:rsidR="00334829" w:rsidRDefault="00334829" w:rsidP="00245D21">
      <w:pPr>
        <w:ind w:right="2"/>
        <w:jc w:val="both"/>
        <w:rPr>
          <w:rFonts w:ascii="Arial" w:hAnsi="Arial" w:cs="Arial"/>
          <w:bCs/>
          <w:sz w:val="28"/>
          <w:szCs w:val="28"/>
        </w:rPr>
      </w:pPr>
    </w:p>
    <w:p w:rsidR="00334829" w:rsidRDefault="00334829" w:rsidP="00245D21">
      <w:pPr>
        <w:ind w:right="2"/>
        <w:jc w:val="both"/>
        <w:rPr>
          <w:rFonts w:ascii="Arial" w:hAnsi="Arial" w:cs="Arial"/>
          <w:bCs/>
          <w:sz w:val="28"/>
          <w:szCs w:val="28"/>
        </w:rPr>
      </w:pPr>
    </w:p>
    <w:p w:rsidR="00770F38" w:rsidRDefault="00770F38" w:rsidP="00245D21">
      <w:pPr>
        <w:ind w:right="2"/>
        <w:jc w:val="both"/>
        <w:rPr>
          <w:rFonts w:ascii="Arial" w:hAnsi="Arial" w:cs="Arial"/>
          <w:bCs/>
          <w:sz w:val="28"/>
          <w:szCs w:val="28"/>
        </w:rPr>
      </w:pPr>
    </w:p>
    <w:p w:rsidR="00770F38" w:rsidRDefault="00770F38" w:rsidP="00245D21">
      <w:pPr>
        <w:ind w:right="2"/>
        <w:jc w:val="both"/>
        <w:rPr>
          <w:rFonts w:ascii="Arial" w:hAnsi="Arial" w:cs="Arial"/>
          <w:bCs/>
          <w:sz w:val="28"/>
          <w:szCs w:val="28"/>
        </w:rPr>
      </w:pPr>
    </w:p>
    <w:p w:rsidR="00770F38" w:rsidRDefault="00770F38" w:rsidP="00245D21">
      <w:pPr>
        <w:ind w:right="2"/>
        <w:jc w:val="both"/>
        <w:rPr>
          <w:rFonts w:ascii="Arial" w:hAnsi="Arial" w:cs="Arial"/>
          <w:bCs/>
          <w:sz w:val="28"/>
          <w:szCs w:val="28"/>
        </w:rPr>
      </w:pPr>
    </w:p>
    <w:p w:rsidR="00770F38" w:rsidRDefault="00770F38" w:rsidP="00245D21">
      <w:pPr>
        <w:ind w:right="2"/>
        <w:jc w:val="both"/>
        <w:rPr>
          <w:rFonts w:ascii="Arial" w:hAnsi="Arial" w:cs="Arial"/>
          <w:bCs/>
          <w:sz w:val="28"/>
          <w:szCs w:val="28"/>
        </w:rPr>
      </w:pPr>
    </w:p>
    <w:p w:rsidR="00770F38" w:rsidRDefault="00770F38" w:rsidP="00245D21">
      <w:pPr>
        <w:ind w:right="2"/>
        <w:jc w:val="both"/>
        <w:rPr>
          <w:rFonts w:ascii="Arial" w:hAnsi="Arial" w:cs="Arial"/>
          <w:bCs/>
          <w:sz w:val="28"/>
          <w:szCs w:val="28"/>
        </w:rPr>
      </w:pPr>
    </w:p>
    <w:p w:rsidR="00770F38" w:rsidRDefault="00770F38" w:rsidP="00245D21">
      <w:pPr>
        <w:ind w:right="2"/>
        <w:jc w:val="both"/>
        <w:rPr>
          <w:rFonts w:ascii="Arial" w:hAnsi="Arial" w:cs="Arial"/>
          <w:bCs/>
          <w:sz w:val="28"/>
          <w:szCs w:val="28"/>
        </w:rPr>
      </w:pPr>
    </w:p>
    <w:p w:rsidR="00770F38" w:rsidRDefault="00770F38" w:rsidP="00245D21">
      <w:pPr>
        <w:ind w:right="2"/>
        <w:jc w:val="both"/>
        <w:rPr>
          <w:rFonts w:ascii="Arial" w:hAnsi="Arial" w:cs="Arial"/>
          <w:bCs/>
          <w:sz w:val="28"/>
          <w:szCs w:val="28"/>
        </w:rPr>
      </w:pPr>
    </w:p>
    <w:p w:rsidR="00770F38" w:rsidRDefault="00770F38" w:rsidP="00245D21">
      <w:pPr>
        <w:ind w:right="2"/>
        <w:jc w:val="both"/>
        <w:rPr>
          <w:rFonts w:ascii="Arial" w:hAnsi="Arial" w:cs="Arial"/>
          <w:bCs/>
          <w:sz w:val="28"/>
          <w:szCs w:val="28"/>
        </w:rPr>
      </w:pPr>
    </w:p>
    <w:p w:rsidR="00770F38" w:rsidRDefault="00770F38" w:rsidP="00245D21">
      <w:pPr>
        <w:ind w:right="2"/>
        <w:jc w:val="both"/>
        <w:rPr>
          <w:rFonts w:ascii="Arial" w:hAnsi="Arial" w:cs="Arial"/>
          <w:bCs/>
          <w:sz w:val="28"/>
          <w:szCs w:val="28"/>
        </w:rPr>
      </w:pPr>
    </w:p>
    <w:p w:rsidR="00770F38" w:rsidRDefault="00770F38" w:rsidP="00245D21">
      <w:pPr>
        <w:ind w:right="2"/>
        <w:jc w:val="both"/>
        <w:rPr>
          <w:rFonts w:ascii="Arial" w:hAnsi="Arial" w:cs="Arial"/>
          <w:bCs/>
          <w:sz w:val="28"/>
          <w:szCs w:val="28"/>
        </w:rPr>
      </w:pPr>
    </w:p>
    <w:p w:rsidR="00770F38" w:rsidRPr="00F26D23" w:rsidRDefault="00770F38" w:rsidP="00770F38">
      <w:pPr>
        <w:ind w:right="2"/>
        <w:jc w:val="both"/>
        <w:rPr>
          <w:rFonts w:ascii="Arial" w:hAnsi="Arial" w:cs="Arial"/>
          <w:bCs/>
          <w:sz w:val="28"/>
          <w:szCs w:val="28"/>
        </w:rPr>
      </w:pPr>
      <w:r>
        <w:rPr>
          <w:rFonts w:ascii="Arial" w:hAnsi="Arial"/>
          <w:sz w:val="28"/>
        </w:rPr>
        <w:t xml:space="preserve">Document préparé pour les </w:t>
      </w:r>
      <w:r w:rsidR="009209BB">
        <w:rPr>
          <w:rFonts w:ascii="Arial" w:hAnsi="Arial"/>
          <w:sz w:val="28"/>
        </w:rPr>
        <w:t>organismes de service</w:t>
      </w:r>
      <w:r>
        <w:rPr>
          <w:rFonts w:ascii="Arial" w:hAnsi="Arial"/>
          <w:sz w:val="28"/>
        </w:rPr>
        <w:t xml:space="preserve"> aux personnes ayant une déficience intellectuelle (SPDI)</w:t>
      </w:r>
    </w:p>
    <w:p w:rsidR="00044975" w:rsidRPr="00116ACC" w:rsidRDefault="00770F38" w:rsidP="00116ACC">
      <w:pPr>
        <w:ind w:right="2"/>
        <w:jc w:val="both"/>
        <w:rPr>
          <w:rFonts w:ascii="Arial" w:hAnsi="Arial" w:cs="Arial"/>
          <w:bCs/>
          <w:sz w:val="28"/>
          <w:szCs w:val="28"/>
        </w:rPr>
      </w:pPr>
      <w:r>
        <w:rPr>
          <w:rFonts w:ascii="Arial" w:hAnsi="Arial"/>
          <w:sz w:val="28"/>
        </w:rPr>
        <w:t xml:space="preserve">Mis à jour en mars 2016 </w:t>
      </w:r>
    </w:p>
    <w:p w:rsidR="00044975" w:rsidRDefault="00044975">
      <w:pPr>
        <w:rPr>
          <w:b/>
          <w:sz w:val="24"/>
          <w:szCs w:val="24"/>
        </w:rPr>
      </w:pPr>
    </w:p>
    <w:p w:rsidR="001E6D71" w:rsidRDefault="001E6D71">
      <w:pPr>
        <w:rPr>
          <w:b/>
          <w:sz w:val="24"/>
          <w:szCs w:val="24"/>
        </w:rPr>
      </w:pPr>
    </w:p>
    <w:tbl>
      <w:tblPr>
        <w:tblW w:w="14790" w:type="dxa"/>
        <w:tblInd w:w="95" w:type="dxa"/>
        <w:tblLayout w:type="fixed"/>
        <w:tblCellMar>
          <w:left w:w="0" w:type="dxa"/>
          <w:right w:w="0" w:type="dxa"/>
        </w:tblCellMar>
        <w:tblLook w:val="01E0" w:firstRow="1" w:lastRow="1" w:firstColumn="1" w:lastColumn="1" w:noHBand="0" w:noVBand="0"/>
      </w:tblPr>
      <w:tblGrid>
        <w:gridCol w:w="3480"/>
        <w:gridCol w:w="3306"/>
        <w:gridCol w:w="1044"/>
        <w:gridCol w:w="2610"/>
        <w:gridCol w:w="2175"/>
        <w:gridCol w:w="2175"/>
      </w:tblGrid>
      <w:tr w:rsidR="00C706A7" w:rsidRPr="00BD320F" w:rsidTr="00C706A7">
        <w:trPr>
          <w:trHeight w:val="450"/>
          <w:tblHeader/>
        </w:trPr>
        <w:tc>
          <w:tcPr>
            <w:tcW w:w="3480" w:type="dxa"/>
            <w:vMerge w:val="restart"/>
            <w:tcBorders>
              <w:top w:val="single" w:sz="4" w:space="0" w:color="000000"/>
              <w:left w:val="single" w:sz="4" w:space="0" w:color="000000"/>
              <w:bottom w:val="nil"/>
              <w:right w:val="single" w:sz="4" w:space="0" w:color="000000"/>
            </w:tcBorders>
            <w:shd w:val="clear" w:color="auto" w:fill="BFBFBF"/>
            <w:vAlign w:val="center"/>
          </w:tcPr>
          <w:p w:rsidR="00F669E4" w:rsidRPr="00C706A7" w:rsidRDefault="00F669E4" w:rsidP="00CF00B5">
            <w:pPr>
              <w:pStyle w:val="Heading1"/>
              <w:jc w:val="center"/>
              <w:rPr>
                <w:rFonts w:asciiTheme="minorHAnsi" w:hAnsiTheme="minorHAnsi" w:cstheme="minorHAnsi"/>
                <w:b w:val="0"/>
                <w:bCs w:val="0"/>
              </w:rPr>
            </w:pPr>
            <w:bookmarkStart w:id="0" w:name="_Toc399481995"/>
            <w:r>
              <w:rPr>
                <w:rFonts w:asciiTheme="minorHAnsi" w:hAnsiTheme="minorHAnsi" w:cstheme="minorHAnsi"/>
                <w:sz w:val="22"/>
              </w:rPr>
              <w:t>Politique et consignes</w:t>
            </w:r>
            <w:bookmarkEnd w:id="0"/>
          </w:p>
          <w:p w:rsidR="00F669E4" w:rsidRPr="00D33BA9" w:rsidRDefault="00F669E4" w:rsidP="00CF00B5">
            <w:pPr>
              <w:pStyle w:val="TableParagraph"/>
              <w:ind w:left="1480"/>
              <w:jc w:val="center"/>
              <w:rPr>
                <w:rFonts w:cs="Calibri"/>
                <w:b/>
              </w:rPr>
            </w:pPr>
          </w:p>
        </w:tc>
        <w:tc>
          <w:tcPr>
            <w:tcW w:w="3306" w:type="dxa"/>
            <w:tcBorders>
              <w:top w:val="single" w:sz="4" w:space="0" w:color="000000"/>
              <w:left w:val="single" w:sz="4" w:space="0" w:color="000000"/>
              <w:bottom w:val="nil"/>
              <w:right w:val="single" w:sz="4" w:space="0" w:color="auto"/>
            </w:tcBorders>
            <w:shd w:val="clear" w:color="auto" w:fill="BFBFBF"/>
            <w:vAlign w:val="center"/>
          </w:tcPr>
          <w:p w:rsidR="00F669E4" w:rsidRPr="00D33BA9" w:rsidRDefault="00F669E4" w:rsidP="00CF00B5">
            <w:pPr>
              <w:jc w:val="center"/>
              <w:rPr>
                <w:rFonts w:cs="Calibri"/>
                <w:b/>
              </w:rPr>
            </w:pPr>
            <w:r>
              <w:rPr>
                <w:b/>
              </w:rPr>
              <w:t>But</w:t>
            </w:r>
          </w:p>
        </w:tc>
        <w:tc>
          <w:tcPr>
            <w:tcW w:w="1044" w:type="dxa"/>
            <w:vMerge w:val="restart"/>
            <w:tcBorders>
              <w:top w:val="single" w:sz="4" w:space="0" w:color="000000"/>
              <w:left w:val="single" w:sz="4" w:space="0" w:color="auto"/>
              <w:bottom w:val="nil"/>
              <w:right w:val="single" w:sz="4" w:space="0" w:color="000000"/>
            </w:tcBorders>
            <w:shd w:val="clear" w:color="auto" w:fill="BFBFBF"/>
            <w:vAlign w:val="center"/>
          </w:tcPr>
          <w:p w:rsidR="00F669E4" w:rsidRPr="00D33BA9" w:rsidRDefault="00162DED" w:rsidP="00CF00B5">
            <w:pPr>
              <w:jc w:val="center"/>
              <w:rPr>
                <w:rFonts w:cs="Calibri"/>
                <w:b/>
              </w:rPr>
            </w:pPr>
            <w:r>
              <w:rPr>
                <w:b/>
              </w:rPr>
              <w:t>Risque</w:t>
            </w:r>
          </w:p>
        </w:tc>
        <w:tc>
          <w:tcPr>
            <w:tcW w:w="2610" w:type="dxa"/>
            <w:vMerge w:val="restart"/>
            <w:tcBorders>
              <w:top w:val="single" w:sz="4" w:space="0" w:color="000000"/>
              <w:left w:val="single" w:sz="4" w:space="0" w:color="000000"/>
              <w:bottom w:val="nil"/>
              <w:right w:val="single" w:sz="4" w:space="0" w:color="000000"/>
            </w:tcBorders>
            <w:shd w:val="clear" w:color="auto" w:fill="BFBFBF"/>
            <w:vAlign w:val="center"/>
          </w:tcPr>
          <w:p w:rsidR="00F669E4" w:rsidRPr="00D33BA9" w:rsidRDefault="00F669E4" w:rsidP="00CF00B5">
            <w:pPr>
              <w:jc w:val="center"/>
              <w:rPr>
                <w:rFonts w:cs="Calibri"/>
                <w:b/>
              </w:rPr>
            </w:pPr>
          </w:p>
          <w:p w:rsidR="00F669E4" w:rsidRPr="00D33BA9" w:rsidRDefault="00F669E4" w:rsidP="00CF00B5">
            <w:pPr>
              <w:jc w:val="center"/>
              <w:rPr>
                <w:rFonts w:cs="Calibri"/>
                <w:b/>
              </w:rPr>
            </w:pPr>
            <w:r>
              <w:rPr>
                <w:b/>
              </w:rPr>
              <w:t>Indicateur</w:t>
            </w:r>
          </w:p>
          <w:p w:rsidR="00F669E4" w:rsidRPr="00D33BA9" w:rsidRDefault="00F669E4" w:rsidP="00CF00B5">
            <w:pPr>
              <w:jc w:val="center"/>
              <w:rPr>
                <w:rFonts w:cs="Calibri"/>
                <w:b/>
              </w:rPr>
            </w:pPr>
          </w:p>
          <w:p w:rsidR="00F669E4" w:rsidRPr="00D33BA9" w:rsidRDefault="00F669E4" w:rsidP="00CF00B5">
            <w:pPr>
              <w:jc w:val="center"/>
              <w:rPr>
                <w:rFonts w:cs="Calibri"/>
                <w:b/>
              </w:rPr>
            </w:pPr>
          </w:p>
          <w:p w:rsidR="00F669E4" w:rsidRPr="00D33BA9" w:rsidRDefault="00F669E4" w:rsidP="00CF00B5">
            <w:pPr>
              <w:jc w:val="center"/>
              <w:rPr>
                <w:rFonts w:cs="Calibri"/>
                <w:b/>
              </w:rPr>
            </w:pPr>
          </w:p>
          <w:p w:rsidR="00F669E4" w:rsidRPr="00D33BA9" w:rsidRDefault="00F669E4" w:rsidP="00CF00B5">
            <w:pPr>
              <w:jc w:val="center"/>
              <w:rPr>
                <w:rFonts w:cs="Calibri"/>
                <w:b/>
              </w:rPr>
            </w:pPr>
          </w:p>
          <w:p w:rsidR="00F669E4" w:rsidRPr="00D33BA9" w:rsidRDefault="00F669E4" w:rsidP="00CF00B5">
            <w:pPr>
              <w:jc w:val="center"/>
              <w:rPr>
                <w:rFonts w:cs="Calibri"/>
                <w:b/>
              </w:rPr>
            </w:pPr>
          </w:p>
          <w:p w:rsidR="00F669E4" w:rsidRPr="00D33BA9" w:rsidRDefault="00F669E4" w:rsidP="00CF00B5">
            <w:pPr>
              <w:jc w:val="center"/>
              <w:rPr>
                <w:rFonts w:cs="Calibri"/>
                <w:b/>
              </w:rPr>
            </w:pPr>
            <w:r>
              <w:rPr>
                <w:b/>
              </w:rPr>
              <w:t>Politiques et</w:t>
            </w:r>
          </w:p>
        </w:tc>
        <w:tc>
          <w:tcPr>
            <w:tcW w:w="2175" w:type="dxa"/>
            <w:tcBorders>
              <w:top w:val="single" w:sz="4" w:space="0" w:color="000000"/>
              <w:left w:val="single" w:sz="4" w:space="0" w:color="000000"/>
              <w:bottom w:val="nil"/>
              <w:right w:val="single" w:sz="4" w:space="0" w:color="000000"/>
            </w:tcBorders>
            <w:shd w:val="clear" w:color="auto" w:fill="BFBFBF"/>
          </w:tcPr>
          <w:p w:rsidR="00F669E4" w:rsidRDefault="00F669E4" w:rsidP="00CF00B5">
            <w:pPr>
              <w:jc w:val="center"/>
              <w:rPr>
                <w:rFonts w:cs="Calibri"/>
                <w:b/>
              </w:rPr>
            </w:pPr>
          </w:p>
          <w:p w:rsidR="00F669E4" w:rsidRPr="00D33BA9" w:rsidRDefault="00F669E4" w:rsidP="00CF00B5">
            <w:pPr>
              <w:jc w:val="center"/>
              <w:rPr>
                <w:rFonts w:cs="Calibri"/>
                <w:b/>
              </w:rPr>
            </w:pPr>
            <w:r>
              <w:rPr>
                <w:b/>
              </w:rPr>
              <w:t>Non-conformité constatée</w:t>
            </w:r>
          </w:p>
        </w:tc>
        <w:tc>
          <w:tcPr>
            <w:tcW w:w="2175" w:type="dxa"/>
            <w:tcBorders>
              <w:top w:val="single" w:sz="4" w:space="0" w:color="000000"/>
              <w:left w:val="single" w:sz="4" w:space="0" w:color="000000"/>
              <w:bottom w:val="nil"/>
              <w:right w:val="single" w:sz="4" w:space="0" w:color="000000"/>
            </w:tcBorders>
            <w:shd w:val="clear" w:color="auto" w:fill="BFBFBF"/>
          </w:tcPr>
          <w:p w:rsidR="00F669E4" w:rsidRDefault="00F669E4" w:rsidP="00CF00B5">
            <w:pPr>
              <w:jc w:val="center"/>
              <w:rPr>
                <w:rFonts w:cs="Calibri"/>
                <w:b/>
              </w:rPr>
            </w:pPr>
          </w:p>
          <w:p w:rsidR="00F669E4" w:rsidRPr="00A013E5" w:rsidRDefault="00F669E4" w:rsidP="00CF00B5">
            <w:pPr>
              <w:jc w:val="center"/>
              <w:rPr>
                <w:rFonts w:cs="Calibri"/>
                <w:b/>
              </w:rPr>
            </w:pPr>
            <w:r>
              <w:rPr>
                <w:b/>
              </w:rPr>
              <w:t>Exigence de conformité</w:t>
            </w:r>
          </w:p>
        </w:tc>
      </w:tr>
      <w:tr w:rsidR="00C706A7" w:rsidRPr="00BD320F" w:rsidTr="00C706A7">
        <w:trPr>
          <w:trHeight w:hRule="exact" w:val="165"/>
        </w:trPr>
        <w:tc>
          <w:tcPr>
            <w:tcW w:w="3480" w:type="dxa"/>
            <w:vMerge/>
            <w:tcBorders>
              <w:left w:val="single" w:sz="4" w:space="0" w:color="000000"/>
              <w:right w:val="single" w:sz="4" w:space="0" w:color="000000"/>
            </w:tcBorders>
            <w:shd w:val="clear" w:color="auto" w:fill="BFBFBF"/>
          </w:tcPr>
          <w:p w:rsidR="00F669E4" w:rsidRPr="00BD320F" w:rsidRDefault="00F669E4"/>
        </w:tc>
        <w:tc>
          <w:tcPr>
            <w:tcW w:w="3306" w:type="dxa"/>
            <w:tcBorders>
              <w:left w:val="single" w:sz="4" w:space="0" w:color="000000"/>
              <w:right w:val="single" w:sz="4" w:space="0" w:color="auto"/>
            </w:tcBorders>
            <w:shd w:val="clear" w:color="auto" w:fill="BFBFBF"/>
          </w:tcPr>
          <w:p w:rsidR="00F669E4" w:rsidRPr="00BD320F" w:rsidRDefault="00F669E4"/>
        </w:tc>
        <w:tc>
          <w:tcPr>
            <w:tcW w:w="1044" w:type="dxa"/>
            <w:vMerge/>
            <w:tcBorders>
              <w:left w:val="single" w:sz="4" w:space="0" w:color="auto"/>
              <w:right w:val="single" w:sz="4" w:space="0" w:color="000000"/>
            </w:tcBorders>
            <w:shd w:val="clear" w:color="auto" w:fill="BFBFBF"/>
          </w:tcPr>
          <w:p w:rsidR="00F669E4" w:rsidRPr="00BD320F" w:rsidRDefault="00F669E4"/>
        </w:tc>
        <w:tc>
          <w:tcPr>
            <w:tcW w:w="2610" w:type="dxa"/>
            <w:vMerge/>
            <w:tcBorders>
              <w:left w:val="single" w:sz="4" w:space="0" w:color="000000"/>
              <w:right w:val="single" w:sz="4" w:space="0" w:color="000000"/>
            </w:tcBorders>
            <w:shd w:val="clear" w:color="auto" w:fill="BFBFBF"/>
          </w:tcPr>
          <w:p w:rsidR="00F669E4" w:rsidRPr="00BD320F" w:rsidRDefault="00F669E4"/>
        </w:tc>
        <w:tc>
          <w:tcPr>
            <w:tcW w:w="2175" w:type="dxa"/>
            <w:tcBorders>
              <w:left w:val="single" w:sz="4" w:space="0" w:color="000000"/>
              <w:right w:val="single" w:sz="4" w:space="0" w:color="000000"/>
            </w:tcBorders>
            <w:shd w:val="clear" w:color="auto" w:fill="BFBFBF"/>
          </w:tcPr>
          <w:p w:rsidR="00F669E4" w:rsidRDefault="00F669E4">
            <w:pPr>
              <w:pStyle w:val="TableParagraph"/>
              <w:spacing w:before="48" w:line="222" w:lineRule="exact"/>
              <w:ind w:left="326"/>
              <w:rPr>
                <w:rFonts w:ascii="Times New Roman" w:hAnsi="Times New Roman"/>
                <w:sz w:val="20"/>
                <w:szCs w:val="20"/>
              </w:rPr>
            </w:pPr>
          </w:p>
        </w:tc>
        <w:tc>
          <w:tcPr>
            <w:tcW w:w="2175" w:type="dxa"/>
            <w:tcBorders>
              <w:left w:val="single" w:sz="4" w:space="0" w:color="000000"/>
              <w:right w:val="single" w:sz="4" w:space="0" w:color="000000"/>
            </w:tcBorders>
            <w:shd w:val="clear" w:color="auto" w:fill="BFBFBF"/>
          </w:tcPr>
          <w:p w:rsidR="00F669E4" w:rsidRDefault="00F669E4">
            <w:pPr>
              <w:pStyle w:val="TableParagraph"/>
              <w:spacing w:before="48" w:line="222" w:lineRule="exact"/>
              <w:ind w:left="326"/>
              <w:rPr>
                <w:rFonts w:ascii="Times New Roman" w:hAnsi="Times New Roman"/>
                <w:sz w:val="20"/>
                <w:szCs w:val="20"/>
              </w:rPr>
            </w:pPr>
          </w:p>
        </w:tc>
      </w:tr>
      <w:tr w:rsidR="00C706A7" w:rsidRPr="00BD320F" w:rsidTr="00C706A7">
        <w:trPr>
          <w:trHeight w:hRule="exact" w:val="45"/>
        </w:trPr>
        <w:tc>
          <w:tcPr>
            <w:tcW w:w="3480" w:type="dxa"/>
            <w:vMerge/>
            <w:tcBorders>
              <w:left w:val="single" w:sz="4" w:space="0" w:color="000000"/>
              <w:bottom w:val="single" w:sz="4" w:space="0" w:color="000000"/>
              <w:right w:val="single" w:sz="4" w:space="0" w:color="000000"/>
            </w:tcBorders>
            <w:shd w:val="clear" w:color="auto" w:fill="BFBFBF"/>
          </w:tcPr>
          <w:p w:rsidR="00F669E4" w:rsidRPr="00BD320F" w:rsidRDefault="00F669E4"/>
        </w:tc>
        <w:tc>
          <w:tcPr>
            <w:tcW w:w="3306" w:type="dxa"/>
            <w:tcBorders>
              <w:left w:val="single" w:sz="4" w:space="0" w:color="000000"/>
              <w:bottom w:val="single" w:sz="4" w:space="0" w:color="000000"/>
              <w:right w:val="single" w:sz="4" w:space="0" w:color="auto"/>
            </w:tcBorders>
            <w:shd w:val="clear" w:color="auto" w:fill="BFBFBF"/>
          </w:tcPr>
          <w:p w:rsidR="00F669E4" w:rsidRPr="00BD320F" w:rsidRDefault="00F669E4"/>
        </w:tc>
        <w:tc>
          <w:tcPr>
            <w:tcW w:w="1044" w:type="dxa"/>
            <w:tcBorders>
              <w:left w:val="single" w:sz="4" w:space="0" w:color="auto"/>
              <w:bottom w:val="single" w:sz="4" w:space="0" w:color="000000"/>
              <w:right w:val="single" w:sz="4" w:space="0" w:color="000000"/>
            </w:tcBorders>
            <w:shd w:val="clear" w:color="auto" w:fill="BFBFBF"/>
          </w:tcPr>
          <w:p w:rsidR="00F669E4" w:rsidRPr="00BD320F" w:rsidRDefault="00F669E4"/>
        </w:tc>
        <w:tc>
          <w:tcPr>
            <w:tcW w:w="2610" w:type="dxa"/>
            <w:vMerge/>
            <w:tcBorders>
              <w:left w:val="single" w:sz="4" w:space="0" w:color="000000"/>
              <w:bottom w:val="single" w:sz="4" w:space="0" w:color="000000"/>
              <w:right w:val="single" w:sz="4" w:space="0" w:color="000000"/>
            </w:tcBorders>
            <w:shd w:val="clear" w:color="auto" w:fill="BFBFBF"/>
          </w:tcPr>
          <w:p w:rsidR="00F669E4" w:rsidRPr="00BD320F" w:rsidRDefault="00F669E4"/>
        </w:tc>
        <w:tc>
          <w:tcPr>
            <w:tcW w:w="2175" w:type="dxa"/>
            <w:tcBorders>
              <w:left w:val="single" w:sz="4" w:space="0" w:color="000000"/>
              <w:bottom w:val="single" w:sz="4" w:space="0" w:color="000000"/>
              <w:right w:val="single" w:sz="4" w:space="0" w:color="000000"/>
            </w:tcBorders>
            <w:shd w:val="clear" w:color="auto" w:fill="BFBFBF"/>
          </w:tcPr>
          <w:p w:rsidR="00F669E4" w:rsidRPr="00BD320F" w:rsidRDefault="00F669E4"/>
        </w:tc>
        <w:tc>
          <w:tcPr>
            <w:tcW w:w="2175" w:type="dxa"/>
            <w:tcBorders>
              <w:left w:val="single" w:sz="4" w:space="0" w:color="000000"/>
              <w:bottom w:val="single" w:sz="4" w:space="0" w:color="000000"/>
              <w:right w:val="single" w:sz="4" w:space="0" w:color="000000"/>
            </w:tcBorders>
            <w:shd w:val="clear" w:color="auto" w:fill="BFBFBF"/>
          </w:tcPr>
          <w:p w:rsidR="00F669E4" w:rsidRPr="00BD320F" w:rsidRDefault="00F669E4"/>
        </w:tc>
      </w:tr>
      <w:tr w:rsidR="00F669E4" w:rsidRPr="0081122E" w:rsidTr="0020773B">
        <w:trPr>
          <w:trHeight w:hRule="exact" w:val="7548"/>
        </w:trPr>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434077" w:rsidRDefault="00434077" w:rsidP="0020773B">
            <w:pPr>
              <w:pStyle w:val="TableParagraph"/>
              <w:spacing w:before="48"/>
              <w:ind w:left="35"/>
              <w:rPr>
                <w:rFonts w:cs="Calibri"/>
                <w:sz w:val="20"/>
                <w:szCs w:val="20"/>
              </w:rPr>
            </w:pPr>
          </w:p>
          <w:p w:rsidR="00F669E4" w:rsidRPr="00BA34DD" w:rsidRDefault="0020773B" w:rsidP="00BA34DD">
            <w:pPr>
              <w:rPr>
                <w:sz w:val="20"/>
                <w:szCs w:val="20"/>
              </w:rPr>
            </w:pPr>
            <w:r>
              <w:rPr>
                <w:sz w:val="20"/>
              </w:rPr>
              <w:t xml:space="preserve">63. Famille hôte, exigences minimums du processus de présélection, éléments clés à prendre en compte; motivation et volonté de la famille </w:t>
            </w:r>
          </w:p>
          <w:p w:rsidR="00F669E4" w:rsidRPr="00BA34DD" w:rsidRDefault="00F669E4" w:rsidP="00BA34DD">
            <w:pPr>
              <w:rPr>
                <w:sz w:val="20"/>
                <w:szCs w:val="20"/>
              </w:rPr>
            </w:pPr>
          </w:p>
          <w:p w:rsidR="0020773B" w:rsidRDefault="00182F16" w:rsidP="00BA34DD">
            <w:pPr>
              <w:rPr>
                <w:sz w:val="20"/>
                <w:szCs w:val="20"/>
              </w:rPr>
            </w:pPr>
            <w:r>
              <w:rPr>
                <w:sz w:val="20"/>
              </w:rPr>
              <w:t>Les politiques et les consignes écrites de l’organisme de service prévoient qu’il doit notamment prendre en compte, au moment de présélectionner des familles hôtes potentielles, la motivation de la famille et sa volonté d’accepter la personne en tant que membre de ménage et de respecter son autonomie, sa dignité, son autodétermination, son inclusion sociale et sa participation à la vie communautaire.</w:t>
            </w:r>
          </w:p>
          <w:p w:rsidR="00182F16" w:rsidRPr="00BA34DD" w:rsidRDefault="00182F16" w:rsidP="00BA34DD">
            <w:pPr>
              <w:rPr>
                <w:sz w:val="20"/>
                <w:szCs w:val="20"/>
              </w:rPr>
            </w:pPr>
          </w:p>
          <w:p w:rsidR="00F669E4" w:rsidRPr="00BA34DD" w:rsidRDefault="0020773B" w:rsidP="00BA34DD">
            <w:pPr>
              <w:rPr>
                <w:sz w:val="20"/>
                <w:szCs w:val="20"/>
              </w:rPr>
            </w:pPr>
            <w:r>
              <w:rPr>
                <w:sz w:val="20"/>
              </w:rPr>
              <w:t xml:space="preserve">Directives en matière de politique s’appliquant aux organismes de service en ce qui a trait au Programme de placement en </w:t>
            </w:r>
            <w:bookmarkStart w:id="1" w:name="_GoBack"/>
            <w:r>
              <w:rPr>
                <w:sz w:val="20"/>
              </w:rPr>
              <w:t xml:space="preserve">famille hôte </w:t>
            </w:r>
            <w:bookmarkEnd w:id="1"/>
            <w:r>
              <w:rPr>
                <w:sz w:val="20"/>
              </w:rPr>
              <w:t>1.1</w:t>
            </w:r>
          </w:p>
          <w:p w:rsidR="00F669E4" w:rsidRPr="0081122E" w:rsidRDefault="00F669E4">
            <w:pPr>
              <w:pStyle w:val="TableParagraph"/>
              <w:spacing w:line="195" w:lineRule="exact"/>
              <w:ind w:left="35"/>
              <w:rPr>
                <w:rFonts w:cs="Calibri"/>
                <w:sz w:val="20"/>
                <w:szCs w:val="20"/>
              </w:rPr>
            </w:pPr>
          </w:p>
          <w:p w:rsidR="00F669E4" w:rsidRPr="0081122E" w:rsidRDefault="00F669E4">
            <w:pPr>
              <w:pStyle w:val="TableParagraph"/>
              <w:spacing w:line="195" w:lineRule="exact"/>
              <w:ind w:left="35"/>
              <w:rPr>
                <w:rFonts w:cs="Calibri"/>
                <w:sz w:val="20"/>
                <w:szCs w:val="20"/>
              </w:rPr>
            </w:pPr>
          </w:p>
        </w:tc>
        <w:tc>
          <w:tcPr>
            <w:tcW w:w="3306" w:type="dxa"/>
            <w:tcBorders>
              <w:top w:val="single" w:sz="4" w:space="0" w:color="000000"/>
              <w:left w:val="single" w:sz="4" w:space="0" w:color="000000"/>
              <w:bottom w:val="single" w:sz="4" w:space="0" w:color="000000"/>
              <w:right w:val="single" w:sz="4" w:space="0" w:color="auto"/>
            </w:tcBorders>
          </w:tcPr>
          <w:p w:rsidR="00F669E4" w:rsidRPr="004648F2" w:rsidRDefault="00F669E4" w:rsidP="00444946">
            <w:pPr>
              <w:rPr>
                <w:rFonts w:cs="Calibri"/>
                <w:sz w:val="19"/>
                <w:szCs w:val="19"/>
              </w:rPr>
            </w:pPr>
          </w:p>
          <w:p w:rsidR="00F669E4" w:rsidRPr="004648F2" w:rsidRDefault="0020773B" w:rsidP="0069370A">
            <w:pPr>
              <w:rPr>
                <w:rFonts w:cs="Calibri"/>
                <w:sz w:val="18"/>
                <w:szCs w:val="18"/>
              </w:rPr>
            </w:pPr>
            <w:r w:rsidRPr="004648F2">
              <w:rPr>
                <w:sz w:val="18"/>
                <w:szCs w:val="18"/>
              </w:rPr>
              <w:t>Le but est de s’assurer que le processus de présélection des organismes de service s’appuie notamment sur des critères permettant d’examiner les demandes des familles hôtes potentielles et de déterminer si ces familles convi</w:t>
            </w:r>
            <w:r w:rsidR="00B74868" w:rsidRPr="004648F2">
              <w:rPr>
                <w:sz w:val="18"/>
                <w:szCs w:val="18"/>
              </w:rPr>
              <w:t>endraient à la personne placée.</w:t>
            </w:r>
            <w:r w:rsidRPr="004648F2">
              <w:rPr>
                <w:sz w:val="18"/>
                <w:szCs w:val="18"/>
              </w:rPr>
              <w:t xml:space="preserve"> Les organismes peuvent tenir compte d’un éventail de facteurs, mais ils doivent, à tout le moins, prendre en considération les critères énoncés dans les directives en matière de politique.</w:t>
            </w:r>
          </w:p>
          <w:p w:rsidR="009C43B6" w:rsidRPr="004648F2" w:rsidRDefault="009C43B6" w:rsidP="0069370A">
            <w:pPr>
              <w:rPr>
                <w:rFonts w:cs="Calibri"/>
                <w:sz w:val="18"/>
                <w:szCs w:val="18"/>
              </w:rPr>
            </w:pPr>
          </w:p>
          <w:p w:rsidR="009C43B6" w:rsidRPr="004648F2" w:rsidRDefault="00CF3609" w:rsidP="009C43B6">
            <w:pPr>
              <w:pStyle w:val="NormalWeb"/>
              <w:shd w:val="clear" w:color="auto" w:fill="FFFFFF"/>
              <w:spacing w:before="0" w:beforeAutospacing="0" w:after="0" w:afterAutospacing="0" w:line="253" w:lineRule="atLeast"/>
              <w:ind w:right="300"/>
              <w:rPr>
                <w:rFonts w:ascii="Calibri" w:eastAsiaTheme="minorHAnsi" w:hAnsi="Calibri" w:cs="Calibri"/>
                <w:sz w:val="18"/>
                <w:szCs w:val="18"/>
              </w:rPr>
            </w:pPr>
            <w:r w:rsidRPr="004648F2">
              <w:rPr>
                <w:rFonts w:ascii="Calibri" w:eastAsiaTheme="minorHAnsi" w:hAnsi="Calibri"/>
                <w:sz w:val="18"/>
                <w:szCs w:val="18"/>
              </w:rPr>
              <w:t xml:space="preserve">Il convient notamment de prendre en compte la motivation de la famille à devenir famille hôte et sa volonté de fournir un cadre de vie à long terme et des soins continus à un adulte ayant une déficience intellectuelle. </w:t>
            </w:r>
          </w:p>
          <w:p w:rsidR="009C43B6" w:rsidRPr="004648F2" w:rsidRDefault="009C43B6" w:rsidP="0069370A">
            <w:pPr>
              <w:rPr>
                <w:rFonts w:cs="Calibri"/>
                <w:sz w:val="18"/>
                <w:szCs w:val="18"/>
              </w:rPr>
            </w:pPr>
          </w:p>
          <w:p w:rsidR="00162DED" w:rsidRPr="004648F2" w:rsidRDefault="00162DED" w:rsidP="0069370A">
            <w:pPr>
              <w:rPr>
                <w:rFonts w:cs="Calibri"/>
                <w:sz w:val="19"/>
                <w:szCs w:val="19"/>
              </w:rPr>
            </w:pPr>
            <w:r w:rsidRPr="004648F2">
              <w:rPr>
                <w:sz w:val="18"/>
                <w:szCs w:val="18"/>
              </w:rPr>
              <w:t xml:space="preserve">La personne </w:t>
            </w:r>
            <w:r w:rsidR="00CF00B5">
              <w:rPr>
                <w:sz w:val="18"/>
                <w:szCs w:val="18"/>
              </w:rPr>
              <w:t xml:space="preserve">placée </w:t>
            </w:r>
            <w:r w:rsidRPr="004648F2">
              <w:rPr>
                <w:sz w:val="18"/>
                <w:szCs w:val="18"/>
              </w:rPr>
              <w:t>ne peut pas avoir pour famill</w:t>
            </w:r>
            <w:r w:rsidR="00B74868" w:rsidRPr="004648F2">
              <w:rPr>
                <w:sz w:val="18"/>
                <w:szCs w:val="18"/>
              </w:rPr>
              <w:t>e hôte un membre de sa famille.</w:t>
            </w:r>
            <w:r w:rsidRPr="004648F2">
              <w:rPr>
                <w:sz w:val="18"/>
                <w:szCs w:val="18"/>
              </w:rPr>
              <w:t xml:space="preserve"> La famille hôte peut être une personne ou une famille qui souhaite accueillir un adulte ayant une déficience intellectuelle et qui est prête à s’engager à long terme auprès de </w:t>
            </w:r>
            <w:r w:rsidR="00B74868" w:rsidRPr="004648F2">
              <w:rPr>
                <w:sz w:val="18"/>
                <w:szCs w:val="18"/>
              </w:rPr>
              <w:t xml:space="preserve">lui en tant que famille hôte. </w:t>
            </w:r>
            <w:r w:rsidRPr="004648F2">
              <w:rPr>
                <w:sz w:val="18"/>
                <w:szCs w:val="18"/>
              </w:rPr>
              <w:t>L’organisme de service peut envisager d’inclure les éléments suivants dans ses politiques et ses consignes écrites qui précisent le processus de sélection des familles hôtes, y compris leur présélection, ainsi que les critères et les processus décisionnels.</w:t>
            </w:r>
          </w:p>
        </w:tc>
        <w:tc>
          <w:tcPr>
            <w:tcW w:w="1044" w:type="dxa"/>
            <w:tcBorders>
              <w:top w:val="single" w:sz="4" w:space="0" w:color="000000"/>
              <w:left w:val="single" w:sz="4" w:space="0" w:color="auto"/>
              <w:bottom w:val="single" w:sz="4" w:space="0" w:color="000000"/>
              <w:right w:val="single" w:sz="4" w:space="0" w:color="000000"/>
            </w:tcBorders>
          </w:tcPr>
          <w:p w:rsidR="00F669E4" w:rsidRDefault="00F669E4" w:rsidP="00444946">
            <w:pPr>
              <w:rPr>
                <w:rFonts w:cs="Calibri"/>
                <w:sz w:val="20"/>
                <w:szCs w:val="20"/>
              </w:rPr>
            </w:pPr>
            <w:r>
              <w:rPr>
                <w:sz w:val="20"/>
              </w:rPr>
              <w:t xml:space="preserve"> </w:t>
            </w:r>
          </w:p>
          <w:p w:rsidR="00F669E4" w:rsidRPr="0081122E" w:rsidRDefault="00162DED" w:rsidP="00B14788">
            <w:pPr>
              <w:jc w:val="center"/>
              <w:rPr>
                <w:rFonts w:cs="Calibri"/>
                <w:sz w:val="20"/>
                <w:szCs w:val="20"/>
              </w:rPr>
            </w:pPr>
            <w:r>
              <w:rPr>
                <w:sz w:val="20"/>
              </w:rPr>
              <w:t>FAIBLE</w:t>
            </w:r>
          </w:p>
        </w:tc>
        <w:tc>
          <w:tcPr>
            <w:tcW w:w="2610" w:type="dxa"/>
            <w:tcBorders>
              <w:top w:val="single" w:sz="4" w:space="0" w:color="000000"/>
              <w:left w:val="single" w:sz="4" w:space="0" w:color="000000"/>
              <w:bottom w:val="single" w:sz="4" w:space="0" w:color="000000"/>
              <w:right w:val="single" w:sz="4" w:space="0" w:color="000000"/>
            </w:tcBorders>
          </w:tcPr>
          <w:p w:rsidR="00F669E4" w:rsidRPr="0081122E" w:rsidRDefault="00F669E4" w:rsidP="00434077">
            <w:pPr>
              <w:rPr>
                <w:rFonts w:cs="Calibri"/>
                <w:sz w:val="20"/>
                <w:szCs w:val="20"/>
              </w:rPr>
            </w:pPr>
          </w:p>
          <w:p w:rsidR="00434077" w:rsidRDefault="00434077" w:rsidP="00434077">
            <w:pPr>
              <w:rPr>
                <w:rFonts w:cs="Calibri"/>
                <w:color w:val="000000"/>
              </w:rPr>
            </w:pPr>
            <w:r>
              <w:rPr>
                <w:color w:val="000000"/>
                <w:sz w:val="20"/>
              </w:rPr>
              <w:t>Les politiques et les consignes écrites de l’organisme de service concernant les critères de présélection des familles hôtes potentielles prennent notamment en compte la motivation de la famille et sa volonté d’accepter la personne en tant que membre du ménage et de respecter son autonomie, sa dignité, son autodétermination, son inclusion sociale et sa participation à la vie communautaire.</w:t>
            </w:r>
          </w:p>
          <w:p w:rsidR="00F669E4" w:rsidRPr="0081122E" w:rsidRDefault="00F669E4" w:rsidP="00F863EC">
            <w:pPr>
              <w:rPr>
                <w:rFonts w:cs="Calibri"/>
                <w:sz w:val="20"/>
                <w:szCs w:val="20"/>
              </w:rPr>
            </w:pPr>
          </w:p>
          <w:p w:rsidR="00F669E4" w:rsidRPr="0081122E" w:rsidRDefault="00F669E4" w:rsidP="00F863EC">
            <w:pPr>
              <w:rPr>
                <w:rFonts w:cs="Calibri"/>
                <w:sz w:val="20"/>
                <w:szCs w:val="20"/>
              </w:rPr>
            </w:pPr>
          </w:p>
        </w:tc>
        <w:tc>
          <w:tcPr>
            <w:tcW w:w="2175" w:type="dxa"/>
            <w:tcBorders>
              <w:top w:val="single" w:sz="4" w:space="0" w:color="000000"/>
              <w:left w:val="single" w:sz="4" w:space="0" w:color="000000"/>
              <w:bottom w:val="single" w:sz="4" w:space="0" w:color="000000"/>
              <w:right w:val="single" w:sz="4" w:space="0" w:color="000000"/>
            </w:tcBorders>
          </w:tcPr>
          <w:p w:rsidR="00434077" w:rsidRDefault="00434077" w:rsidP="00D04B7A">
            <w:pPr>
              <w:rPr>
                <w:rFonts w:cs="Calibri"/>
                <w:sz w:val="20"/>
                <w:szCs w:val="20"/>
              </w:rPr>
            </w:pPr>
          </w:p>
          <w:p w:rsidR="00F669E4" w:rsidRPr="0081122E" w:rsidRDefault="00182F16">
            <w:pPr>
              <w:rPr>
                <w:rFonts w:cs="Calibri"/>
                <w:sz w:val="20"/>
                <w:szCs w:val="20"/>
              </w:rPr>
            </w:pPr>
            <w:r>
              <w:rPr>
                <w:sz w:val="20"/>
              </w:rPr>
              <w:t>Les politiques et les consignes relatives au processus de présélection des familles hôtes ne tiennent pas compte de la motivation de la famille et de sa volonté d’accepter la personne et de respecter son autonomie, sa dignité, son autodétermination, son inclusion sociale et sa participation à la vie communautaire.</w:t>
            </w:r>
          </w:p>
        </w:tc>
        <w:tc>
          <w:tcPr>
            <w:tcW w:w="2175" w:type="dxa"/>
            <w:tcBorders>
              <w:top w:val="single" w:sz="4" w:space="0" w:color="000000"/>
              <w:left w:val="single" w:sz="4" w:space="0" w:color="000000"/>
              <w:bottom w:val="single" w:sz="4" w:space="0" w:color="000000"/>
              <w:right w:val="single" w:sz="4" w:space="0" w:color="000000"/>
            </w:tcBorders>
          </w:tcPr>
          <w:p w:rsidR="00434077" w:rsidRDefault="00434077" w:rsidP="00D04B7A">
            <w:pPr>
              <w:rPr>
                <w:rFonts w:cs="Calibri"/>
                <w:sz w:val="20"/>
                <w:szCs w:val="20"/>
              </w:rPr>
            </w:pPr>
          </w:p>
          <w:p w:rsidR="00F669E4" w:rsidRDefault="0020773B" w:rsidP="00D04B7A">
            <w:pPr>
              <w:rPr>
                <w:rFonts w:cs="Calibri"/>
                <w:sz w:val="20"/>
                <w:szCs w:val="20"/>
              </w:rPr>
            </w:pPr>
            <w:r>
              <w:rPr>
                <w:sz w:val="20"/>
              </w:rPr>
              <w:t>Politiques et consignes finales/approuvées et datées.</w:t>
            </w:r>
          </w:p>
        </w:tc>
      </w:tr>
      <w:tr w:rsidR="00F669E4" w:rsidRPr="0081122E" w:rsidTr="00CF3609">
        <w:trPr>
          <w:trHeight w:hRule="exact" w:val="5775"/>
        </w:trPr>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434077" w:rsidRDefault="00434077" w:rsidP="00434077">
            <w:pPr>
              <w:pStyle w:val="TableParagraph"/>
              <w:spacing w:before="48"/>
              <w:ind w:left="35"/>
              <w:rPr>
                <w:rFonts w:cs="Calibri"/>
                <w:sz w:val="20"/>
                <w:szCs w:val="20"/>
              </w:rPr>
            </w:pPr>
          </w:p>
          <w:p w:rsidR="00434077" w:rsidRPr="0020773B" w:rsidRDefault="00434077" w:rsidP="00434077">
            <w:pPr>
              <w:pStyle w:val="TableParagraph"/>
              <w:spacing w:before="48"/>
              <w:ind w:left="35"/>
              <w:rPr>
                <w:rFonts w:cs="Calibri"/>
                <w:sz w:val="20"/>
                <w:szCs w:val="20"/>
              </w:rPr>
            </w:pPr>
            <w:r>
              <w:rPr>
                <w:sz w:val="20"/>
              </w:rPr>
              <w:t>64. Famille hôte, exigences minimums du processus de présélection, éléments clés à prendre en compte; capacités physiques, mentales et émotionnelles</w:t>
            </w:r>
          </w:p>
          <w:p w:rsidR="00F669E4" w:rsidRDefault="00F669E4" w:rsidP="007D4C2C">
            <w:pPr>
              <w:pStyle w:val="TableParagraph"/>
              <w:spacing w:line="195" w:lineRule="exact"/>
              <w:ind w:left="35"/>
              <w:rPr>
                <w:rFonts w:cs="Calibri"/>
                <w:sz w:val="20"/>
                <w:szCs w:val="20"/>
              </w:rPr>
            </w:pPr>
          </w:p>
          <w:p w:rsidR="00434077" w:rsidRDefault="00434077" w:rsidP="009B1771">
            <w:pPr>
              <w:pStyle w:val="TableParagraph"/>
              <w:spacing w:line="195" w:lineRule="exact"/>
              <w:rPr>
                <w:rFonts w:cs="Calibri"/>
                <w:sz w:val="20"/>
                <w:szCs w:val="20"/>
              </w:rPr>
            </w:pPr>
          </w:p>
          <w:p w:rsidR="00182F16" w:rsidRDefault="00CD190F" w:rsidP="00434077">
            <w:pPr>
              <w:rPr>
                <w:rFonts w:cs="Calibri"/>
                <w:color w:val="000000"/>
                <w:sz w:val="20"/>
                <w:szCs w:val="20"/>
              </w:rPr>
            </w:pPr>
            <w:r>
              <w:rPr>
                <w:sz w:val="20"/>
              </w:rPr>
              <w:t xml:space="preserve">Les politiques et les consignes écrites de l’organisme de service prévoient qu’il doit notamment prendre en compte, au moment de présélectionner des familles hôtes potentielles, les capacités physiques, mentales, sociales et émotionnelles dont dispose la famille hôte pour répondre aux </w:t>
            </w:r>
            <w:r w:rsidR="00B74868">
              <w:rPr>
                <w:sz w:val="20"/>
              </w:rPr>
              <w:t xml:space="preserve">besoins de la personne placée. </w:t>
            </w:r>
          </w:p>
          <w:p w:rsidR="00CD190F" w:rsidRPr="00434077" w:rsidRDefault="00CD190F" w:rsidP="00434077">
            <w:pPr>
              <w:rPr>
                <w:rFonts w:cs="Calibri"/>
                <w:color w:val="000000"/>
                <w:sz w:val="20"/>
                <w:szCs w:val="20"/>
              </w:rPr>
            </w:pPr>
          </w:p>
          <w:p w:rsidR="00434077" w:rsidRDefault="00434077" w:rsidP="00434077">
            <w:pPr>
              <w:rPr>
                <w:rFonts w:cs="Calibri"/>
                <w:color w:val="000000"/>
              </w:rPr>
            </w:pPr>
            <w:r>
              <w:rPr>
                <w:color w:val="000000"/>
                <w:sz w:val="20"/>
              </w:rPr>
              <w:t>Directives en matière de politique s’appliquant aux organismes de service en ce qui a trait au Programme de placement en famille hôte 1.1</w:t>
            </w:r>
          </w:p>
          <w:p w:rsidR="00F669E4" w:rsidRPr="00786D88" w:rsidRDefault="00F669E4">
            <w:pPr>
              <w:pStyle w:val="TableParagraph"/>
              <w:spacing w:line="195" w:lineRule="exact"/>
              <w:ind w:left="35"/>
              <w:rPr>
                <w:rFonts w:cs="Calibri"/>
                <w:sz w:val="20"/>
                <w:szCs w:val="20"/>
              </w:rPr>
            </w:pPr>
          </w:p>
        </w:tc>
        <w:tc>
          <w:tcPr>
            <w:tcW w:w="3306" w:type="dxa"/>
            <w:tcBorders>
              <w:top w:val="single" w:sz="4" w:space="0" w:color="000000"/>
              <w:left w:val="single" w:sz="4" w:space="0" w:color="000000"/>
              <w:bottom w:val="single" w:sz="4" w:space="0" w:color="000000"/>
              <w:right w:val="single" w:sz="4" w:space="0" w:color="auto"/>
            </w:tcBorders>
          </w:tcPr>
          <w:p w:rsidR="0069370A" w:rsidRDefault="0069370A" w:rsidP="000C524B">
            <w:pPr>
              <w:rPr>
                <w:rFonts w:cs="Calibri"/>
                <w:sz w:val="20"/>
                <w:szCs w:val="20"/>
              </w:rPr>
            </w:pPr>
          </w:p>
          <w:p w:rsidR="00F669E4" w:rsidRDefault="0069370A" w:rsidP="000C524B">
            <w:pPr>
              <w:rPr>
                <w:rFonts w:cs="Calibri"/>
                <w:sz w:val="20"/>
                <w:szCs w:val="20"/>
              </w:rPr>
            </w:pPr>
            <w:r>
              <w:rPr>
                <w:sz w:val="20"/>
              </w:rPr>
              <w:t>Le but est de s’assurer que le processus de présélection des organismes de service s’appuie notamment sur des critères permettant d’examiner les demandes des familles hôtes potentielles et de déterminer si ces familles convie</w:t>
            </w:r>
            <w:r w:rsidR="00B74868">
              <w:rPr>
                <w:sz w:val="20"/>
              </w:rPr>
              <w:t xml:space="preserve">ndraient à la personne placée. </w:t>
            </w:r>
            <w:r>
              <w:rPr>
                <w:sz w:val="20"/>
              </w:rPr>
              <w:t>Les organismes peuvent tenir compte d’un éventail de facteurs, mais ils doivent, à tout le moins, prendre en considération les critères énoncés dans les directives en matière de politique.</w:t>
            </w:r>
          </w:p>
          <w:p w:rsidR="009C43B6" w:rsidRDefault="009C43B6" w:rsidP="000C524B">
            <w:pPr>
              <w:rPr>
                <w:rFonts w:cs="Calibri"/>
                <w:sz w:val="20"/>
                <w:szCs w:val="20"/>
              </w:rPr>
            </w:pPr>
          </w:p>
          <w:p w:rsidR="009C43B6" w:rsidRPr="009C43B6" w:rsidRDefault="00CF3609" w:rsidP="00CF3609">
            <w:pPr>
              <w:rPr>
                <w:rFonts w:cs="Calibri"/>
                <w:sz w:val="20"/>
                <w:szCs w:val="20"/>
              </w:rPr>
            </w:pPr>
            <w:r>
              <w:rPr>
                <w:rFonts w:cstheme="minorHAnsi"/>
                <w:sz w:val="20"/>
              </w:rPr>
              <w:t>Il convient notamment de prendre en compte les capacités physiques, mentales, sociales et émotionnelles dont dispose la famille hôte potentielle pour apporter le soutien nécessaire à la personne placée et lui do</w:t>
            </w:r>
            <w:r w:rsidR="00B74868">
              <w:rPr>
                <w:rFonts w:cstheme="minorHAnsi"/>
                <w:sz w:val="20"/>
              </w:rPr>
              <w:t xml:space="preserve">nner l’occasion de s’épanouir. </w:t>
            </w:r>
          </w:p>
        </w:tc>
        <w:tc>
          <w:tcPr>
            <w:tcW w:w="1044" w:type="dxa"/>
            <w:tcBorders>
              <w:top w:val="single" w:sz="4" w:space="0" w:color="000000"/>
              <w:left w:val="single" w:sz="4" w:space="0" w:color="auto"/>
              <w:bottom w:val="single" w:sz="4" w:space="0" w:color="000000"/>
              <w:right w:val="single" w:sz="4" w:space="0" w:color="000000"/>
            </w:tcBorders>
          </w:tcPr>
          <w:p w:rsidR="00F669E4" w:rsidRDefault="00F669E4" w:rsidP="0046539C">
            <w:pPr>
              <w:rPr>
                <w:rFonts w:cs="Calibri"/>
                <w:sz w:val="20"/>
                <w:szCs w:val="20"/>
              </w:rPr>
            </w:pPr>
          </w:p>
          <w:p w:rsidR="0045476A" w:rsidRPr="0081122E" w:rsidRDefault="00B14788" w:rsidP="00434077">
            <w:pPr>
              <w:jc w:val="center"/>
              <w:rPr>
                <w:rFonts w:cs="Calibri"/>
                <w:sz w:val="20"/>
                <w:szCs w:val="20"/>
              </w:rPr>
            </w:pPr>
            <w:r>
              <w:rPr>
                <w:sz w:val="20"/>
              </w:rPr>
              <w:t>FAIBLE</w:t>
            </w:r>
          </w:p>
          <w:p w:rsidR="00F669E4" w:rsidRPr="0081122E" w:rsidRDefault="00F669E4" w:rsidP="000C524B">
            <w:pPr>
              <w:rPr>
                <w:rFonts w:cs="Calibri"/>
                <w:sz w:val="20"/>
                <w:szCs w:val="20"/>
              </w:rPr>
            </w:pPr>
          </w:p>
        </w:tc>
        <w:tc>
          <w:tcPr>
            <w:tcW w:w="2610" w:type="dxa"/>
            <w:tcBorders>
              <w:top w:val="single" w:sz="4" w:space="0" w:color="000000"/>
              <w:left w:val="single" w:sz="4" w:space="0" w:color="000000"/>
              <w:bottom w:val="single" w:sz="4" w:space="0" w:color="000000"/>
              <w:right w:val="single" w:sz="4" w:space="0" w:color="000000"/>
            </w:tcBorders>
          </w:tcPr>
          <w:p w:rsidR="00434077" w:rsidRDefault="00434077" w:rsidP="00434077">
            <w:pPr>
              <w:rPr>
                <w:rFonts w:cs="Calibri"/>
                <w:sz w:val="20"/>
                <w:szCs w:val="20"/>
              </w:rPr>
            </w:pPr>
          </w:p>
          <w:p w:rsidR="00F669E4" w:rsidRPr="0081122E" w:rsidRDefault="00434077" w:rsidP="00B74868">
            <w:pPr>
              <w:rPr>
                <w:rFonts w:cs="Calibri"/>
                <w:sz w:val="20"/>
                <w:szCs w:val="20"/>
              </w:rPr>
            </w:pPr>
            <w:r>
              <w:rPr>
                <w:sz w:val="20"/>
              </w:rPr>
              <w:t>Les politiques et les consignes écrites de l’organisme de service fixent des critères de présélection des familles hôtes potentielles, parmi lesquels figurent</w:t>
            </w:r>
            <w:r>
              <w:rPr>
                <w:color w:val="000000"/>
                <w:sz w:val="20"/>
              </w:rPr>
              <w:t xml:space="preserve"> </w:t>
            </w:r>
            <w:r>
              <w:rPr>
                <w:sz w:val="20"/>
              </w:rPr>
              <w:t xml:space="preserve">les capacités physiques, mentales, sociales et émotionnelles dont dispose la famille hôte pour répondre aux besoins de la personne placée. </w:t>
            </w:r>
          </w:p>
        </w:tc>
        <w:tc>
          <w:tcPr>
            <w:tcW w:w="2175" w:type="dxa"/>
            <w:tcBorders>
              <w:top w:val="single" w:sz="4" w:space="0" w:color="000000"/>
              <w:left w:val="single" w:sz="4" w:space="0" w:color="000000"/>
              <w:bottom w:val="single" w:sz="4" w:space="0" w:color="000000"/>
              <w:right w:val="single" w:sz="4" w:space="0" w:color="000000"/>
            </w:tcBorders>
          </w:tcPr>
          <w:p w:rsidR="00434077" w:rsidRDefault="00434077" w:rsidP="00434077">
            <w:pPr>
              <w:rPr>
                <w:rFonts w:cs="Calibri"/>
                <w:color w:val="000000"/>
                <w:sz w:val="20"/>
                <w:szCs w:val="20"/>
              </w:rPr>
            </w:pPr>
          </w:p>
          <w:p w:rsidR="00F669E4" w:rsidRPr="0081122E" w:rsidDel="00FA5887" w:rsidRDefault="00CD190F" w:rsidP="007826D5">
            <w:pPr>
              <w:rPr>
                <w:rFonts w:cs="Calibri"/>
                <w:sz w:val="20"/>
                <w:szCs w:val="20"/>
              </w:rPr>
            </w:pPr>
            <w:r>
              <w:rPr>
                <w:sz w:val="20"/>
              </w:rPr>
              <w:t>Les politiques et les consignes relatives au processus de présélection des familles hôtes ne tiennent pas compte des capacités physiques, mentales, sociales et émotionnelles dont dispose la famille hôte pour répondre aux besoins de la personne placée.</w:t>
            </w:r>
          </w:p>
        </w:tc>
        <w:tc>
          <w:tcPr>
            <w:tcW w:w="2175" w:type="dxa"/>
            <w:tcBorders>
              <w:top w:val="single" w:sz="4" w:space="0" w:color="000000"/>
              <w:left w:val="single" w:sz="4" w:space="0" w:color="000000"/>
              <w:bottom w:val="single" w:sz="4" w:space="0" w:color="000000"/>
              <w:right w:val="single" w:sz="4" w:space="0" w:color="000000"/>
            </w:tcBorders>
          </w:tcPr>
          <w:p w:rsidR="00434077" w:rsidRDefault="00434077" w:rsidP="007826D5">
            <w:pPr>
              <w:rPr>
                <w:rFonts w:cs="Calibri"/>
                <w:sz w:val="20"/>
                <w:szCs w:val="20"/>
              </w:rPr>
            </w:pPr>
          </w:p>
          <w:p w:rsidR="00F669E4" w:rsidRDefault="00F669E4" w:rsidP="007826D5">
            <w:pPr>
              <w:rPr>
                <w:rFonts w:cs="Calibri"/>
                <w:sz w:val="20"/>
                <w:szCs w:val="20"/>
              </w:rPr>
            </w:pPr>
            <w:r>
              <w:rPr>
                <w:sz w:val="20"/>
              </w:rPr>
              <w:t>Politiques et consignes écrites finales/approuvées et datées.</w:t>
            </w:r>
          </w:p>
        </w:tc>
      </w:tr>
      <w:tr w:rsidR="00F669E4" w:rsidRPr="0081122E" w:rsidTr="00BA34DD">
        <w:trPr>
          <w:trHeight w:hRule="exact" w:val="6135"/>
        </w:trPr>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BA34DD" w:rsidRDefault="00BA34DD" w:rsidP="00E63727">
            <w:pPr>
              <w:pStyle w:val="TableParagraph"/>
              <w:spacing w:line="195" w:lineRule="exact"/>
              <w:ind w:left="35"/>
              <w:rPr>
                <w:rFonts w:cs="Calibri"/>
                <w:sz w:val="20"/>
                <w:szCs w:val="20"/>
              </w:rPr>
            </w:pPr>
          </w:p>
          <w:p w:rsidR="00F669E4" w:rsidRPr="00BA34DD" w:rsidRDefault="00BA34DD" w:rsidP="00BA34DD">
            <w:pPr>
              <w:rPr>
                <w:sz w:val="20"/>
                <w:szCs w:val="20"/>
              </w:rPr>
            </w:pPr>
            <w:r>
              <w:rPr>
                <w:sz w:val="20"/>
              </w:rPr>
              <w:t>65. Famille hôte, exigences minimums du processus de présélection, éléments clés à prendre en compte; situation financière stable</w:t>
            </w:r>
          </w:p>
          <w:p w:rsidR="00F669E4" w:rsidRPr="00BA34DD" w:rsidRDefault="00F669E4" w:rsidP="00BA34DD">
            <w:pPr>
              <w:rPr>
                <w:sz w:val="20"/>
                <w:szCs w:val="20"/>
              </w:rPr>
            </w:pPr>
          </w:p>
          <w:p w:rsidR="00BA34DD" w:rsidRPr="009C43B6" w:rsidRDefault="00182F16" w:rsidP="009C43B6">
            <w:pPr>
              <w:rPr>
                <w:sz w:val="20"/>
                <w:szCs w:val="20"/>
              </w:rPr>
            </w:pPr>
            <w:r>
              <w:rPr>
                <w:sz w:val="20"/>
              </w:rPr>
              <w:t>Les politiques et les consignes écrites de l’organisme de service prévoient qu’il doit notamment déterminer, au moment de présélectionner des familles hôtes potentielles, si la famille a une situation financière stable et dispose d’un revenu adéquat qui lui permettra de subveni</w:t>
            </w:r>
            <w:r w:rsidR="00B74868">
              <w:rPr>
                <w:sz w:val="20"/>
              </w:rPr>
              <w:t xml:space="preserve">r aux besoins de ses membres. </w:t>
            </w:r>
          </w:p>
          <w:p w:rsidR="00182F16" w:rsidRDefault="00182F16">
            <w:pPr>
              <w:pStyle w:val="TableParagraph"/>
              <w:spacing w:line="195" w:lineRule="exact"/>
              <w:ind w:left="35"/>
              <w:rPr>
                <w:rFonts w:cs="Calibri"/>
                <w:sz w:val="20"/>
                <w:szCs w:val="20"/>
              </w:rPr>
            </w:pPr>
          </w:p>
          <w:p w:rsidR="00BA34DD" w:rsidRDefault="00BA34DD" w:rsidP="00BA34DD">
            <w:pPr>
              <w:rPr>
                <w:rFonts w:cs="Calibri"/>
                <w:color w:val="000000"/>
              </w:rPr>
            </w:pPr>
            <w:r>
              <w:rPr>
                <w:color w:val="000000"/>
                <w:sz w:val="20"/>
              </w:rPr>
              <w:t>Directives en matière de politique s’appliquant aux organismes de service en ce qui a trait au Programme de placement en famille hôte 1.1</w:t>
            </w:r>
          </w:p>
          <w:p w:rsidR="00BA34DD" w:rsidRPr="0081122E" w:rsidRDefault="00BA34DD">
            <w:pPr>
              <w:pStyle w:val="TableParagraph"/>
              <w:spacing w:line="195" w:lineRule="exact"/>
              <w:ind w:left="35"/>
              <w:rPr>
                <w:rFonts w:cs="Calibri"/>
                <w:sz w:val="20"/>
                <w:szCs w:val="20"/>
              </w:rPr>
            </w:pPr>
          </w:p>
        </w:tc>
        <w:tc>
          <w:tcPr>
            <w:tcW w:w="3306" w:type="dxa"/>
            <w:tcBorders>
              <w:top w:val="single" w:sz="4" w:space="0" w:color="000000"/>
              <w:left w:val="single" w:sz="4" w:space="0" w:color="000000"/>
              <w:bottom w:val="single" w:sz="4" w:space="0" w:color="000000"/>
              <w:right w:val="single" w:sz="4" w:space="0" w:color="auto"/>
            </w:tcBorders>
          </w:tcPr>
          <w:p w:rsidR="00F669E4" w:rsidRDefault="00F669E4" w:rsidP="00D1418D">
            <w:pPr>
              <w:rPr>
                <w:rFonts w:cs="Calibri"/>
                <w:sz w:val="20"/>
                <w:szCs w:val="20"/>
              </w:rPr>
            </w:pPr>
          </w:p>
          <w:p w:rsidR="00AA3D7A" w:rsidRDefault="001A7ECF" w:rsidP="00AA3D7A">
            <w:pPr>
              <w:rPr>
                <w:rFonts w:cs="Calibri"/>
                <w:sz w:val="20"/>
                <w:szCs w:val="20"/>
              </w:rPr>
            </w:pPr>
            <w:r>
              <w:rPr>
                <w:sz w:val="20"/>
              </w:rPr>
              <w:t>Le but est de s’assurer que le processus de présélection des organismes de service s’appuie notamment sur des critères permettant d’examiner les demandes des familles hôtes potentielles et de déterminer si ces familles convi</w:t>
            </w:r>
            <w:r w:rsidR="00B74868">
              <w:rPr>
                <w:sz w:val="20"/>
              </w:rPr>
              <w:t>endraient à la personne placée.</w:t>
            </w:r>
            <w:r>
              <w:rPr>
                <w:sz w:val="20"/>
              </w:rPr>
              <w:t xml:space="preserve"> Les organismes peuvent tenir compte d’un éventail de facteurs, mais ils doivent, à tout le moins, prendre en considération les critères énoncés dans les directives en matière de politique.</w:t>
            </w:r>
          </w:p>
          <w:p w:rsidR="009C43B6" w:rsidRDefault="009C43B6" w:rsidP="001A7ECF">
            <w:pPr>
              <w:rPr>
                <w:rFonts w:cs="Calibri"/>
                <w:sz w:val="20"/>
                <w:szCs w:val="20"/>
              </w:rPr>
            </w:pPr>
          </w:p>
          <w:p w:rsidR="009C43B6" w:rsidRPr="009C43B6" w:rsidRDefault="000E6217" w:rsidP="000E6217">
            <w:pPr>
              <w:rPr>
                <w:rFonts w:cs="Calibri"/>
                <w:sz w:val="20"/>
                <w:szCs w:val="20"/>
              </w:rPr>
            </w:pPr>
            <w:r>
              <w:rPr>
                <w:rFonts w:cstheme="minorHAnsi"/>
                <w:sz w:val="20"/>
              </w:rPr>
              <w:t>Il convient notamment de déterminer si la famille hôte potentielle dispose de moyens financiers suffisants pour satisfaire en permanence les besoins de ses membres et si sa motivation à devenir une famille hôte n’est pas principalement fondée sur les bénéfices ou les gains financiers obtenus dans le cadre du programme.</w:t>
            </w:r>
          </w:p>
        </w:tc>
        <w:tc>
          <w:tcPr>
            <w:tcW w:w="1044" w:type="dxa"/>
            <w:tcBorders>
              <w:top w:val="single" w:sz="4" w:space="0" w:color="000000"/>
              <w:left w:val="single" w:sz="4" w:space="0" w:color="auto"/>
              <w:bottom w:val="single" w:sz="4" w:space="0" w:color="000000"/>
              <w:right w:val="single" w:sz="4" w:space="0" w:color="000000"/>
            </w:tcBorders>
          </w:tcPr>
          <w:p w:rsidR="00BA34DD" w:rsidRDefault="00BA34DD" w:rsidP="002C28E6">
            <w:pPr>
              <w:rPr>
                <w:rFonts w:cs="Calibri"/>
                <w:sz w:val="20"/>
                <w:szCs w:val="20"/>
              </w:rPr>
            </w:pPr>
            <w:r>
              <w:rPr>
                <w:sz w:val="20"/>
              </w:rPr>
              <w:t xml:space="preserve"> </w:t>
            </w:r>
          </w:p>
          <w:p w:rsidR="00F669E4" w:rsidRPr="0081122E" w:rsidRDefault="00B14788" w:rsidP="00BA34DD">
            <w:pPr>
              <w:jc w:val="center"/>
              <w:rPr>
                <w:rFonts w:cs="Calibri"/>
                <w:sz w:val="20"/>
                <w:szCs w:val="20"/>
              </w:rPr>
            </w:pPr>
            <w:r>
              <w:rPr>
                <w:sz w:val="20"/>
              </w:rPr>
              <w:t>FAIBLE</w:t>
            </w:r>
          </w:p>
        </w:tc>
        <w:tc>
          <w:tcPr>
            <w:tcW w:w="2610" w:type="dxa"/>
            <w:tcBorders>
              <w:top w:val="single" w:sz="4" w:space="0" w:color="000000"/>
              <w:left w:val="single" w:sz="4" w:space="0" w:color="000000"/>
              <w:bottom w:val="single" w:sz="4" w:space="0" w:color="000000"/>
              <w:right w:val="single" w:sz="4" w:space="0" w:color="000000"/>
            </w:tcBorders>
          </w:tcPr>
          <w:p w:rsidR="00BA34DD" w:rsidRDefault="00BA34DD" w:rsidP="00460A9C">
            <w:pPr>
              <w:rPr>
                <w:rFonts w:cs="Calibri"/>
                <w:sz w:val="20"/>
                <w:szCs w:val="20"/>
              </w:rPr>
            </w:pPr>
          </w:p>
          <w:p w:rsidR="00F669E4" w:rsidRPr="0081122E" w:rsidRDefault="00BA34DD" w:rsidP="00460A9C">
            <w:pPr>
              <w:rPr>
                <w:rFonts w:cs="Calibri"/>
                <w:sz w:val="20"/>
                <w:szCs w:val="20"/>
              </w:rPr>
            </w:pPr>
            <w:r>
              <w:rPr>
                <w:sz w:val="20"/>
              </w:rPr>
              <w:t>Les politiques et les consignes écrites de l’organisme de service fixent des critères de présélection des familles hôtes potentielles, parmi lesquels figure le fait de savoir si la famille a une situation financière stable et dispose d’un revenu adéquat qui lui permettra de subvenir aux besoins de ses membres.</w:t>
            </w:r>
          </w:p>
        </w:tc>
        <w:tc>
          <w:tcPr>
            <w:tcW w:w="2175" w:type="dxa"/>
            <w:tcBorders>
              <w:top w:val="single" w:sz="4" w:space="0" w:color="000000"/>
              <w:left w:val="single" w:sz="4" w:space="0" w:color="000000"/>
              <w:bottom w:val="single" w:sz="4" w:space="0" w:color="000000"/>
              <w:right w:val="single" w:sz="4" w:space="0" w:color="000000"/>
            </w:tcBorders>
          </w:tcPr>
          <w:p w:rsidR="00BA34DD" w:rsidRDefault="00BA34DD" w:rsidP="007C5FF4">
            <w:pPr>
              <w:rPr>
                <w:rFonts w:cs="Calibri"/>
                <w:sz w:val="20"/>
                <w:szCs w:val="20"/>
              </w:rPr>
            </w:pPr>
          </w:p>
          <w:p w:rsidR="00F669E4" w:rsidRPr="0081122E" w:rsidRDefault="00182F16">
            <w:pPr>
              <w:rPr>
                <w:rFonts w:cs="Calibri"/>
                <w:sz w:val="20"/>
                <w:szCs w:val="20"/>
              </w:rPr>
            </w:pPr>
            <w:r>
              <w:rPr>
                <w:sz w:val="20"/>
              </w:rPr>
              <w:t>Les politiques et les consignes relatives au processus de présélection des familles hôtes ne tiennent pas compte du fait de savoir si la famille a une situation financière stable et dispose d’un revenu adéquat qui lui permettra de subvenir aux besoins de ses membres.</w:t>
            </w:r>
          </w:p>
        </w:tc>
        <w:tc>
          <w:tcPr>
            <w:tcW w:w="2175" w:type="dxa"/>
            <w:tcBorders>
              <w:top w:val="single" w:sz="4" w:space="0" w:color="000000"/>
              <w:left w:val="single" w:sz="4" w:space="0" w:color="000000"/>
              <w:bottom w:val="single" w:sz="4" w:space="0" w:color="000000"/>
              <w:right w:val="single" w:sz="4" w:space="0" w:color="000000"/>
            </w:tcBorders>
          </w:tcPr>
          <w:p w:rsidR="00BA34DD" w:rsidRDefault="00BA34DD" w:rsidP="007C5FF4">
            <w:pPr>
              <w:rPr>
                <w:rFonts w:cs="Calibri"/>
                <w:sz w:val="20"/>
                <w:szCs w:val="20"/>
              </w:rPr>
            </w:pPr>
          </w:p>
          <w:p w:rsidR="00F669E4" w:rsidRDefault="00F669E4" w:rsidP="007C5FF4">
            <w:pPr>
              <w:rPr>
                <w:rFonts w:cs="Calibri"/>
                <w:sz w:val="20"/>
                <w:szCs w:val="20"/>
              </w:rPr>
            </w:pPr>
            <w:r>
              <w:rPr>
                <w:sz w:val="20"/>
              </w:rPr>
              <w:t>Politiques et consignes écrites finales/approuvées et datées.</w:t>
            </w:r>
          </w:p>
        </w:tc>
      </w:tr>
      <w:tr w:rsidR="00F669E4" w:rsidRPr="0081122E" w:rsidTr="00686C0F">
        <w:trPr>
          <w:trHeight w:hRule="exact" w:val="8550"/>
        </w:trPr>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BA34DD" w:rsidRDefault="00BA34DD" w:rsidP="002D3C19">
            <w:pPr>
              <w:pStyle w:val="TableParagraph"/>
              <w:spacing w:line="195" w:lineRule="exact"/>
              <w:ind w:left="35"/>
              <w:rPr>
                <w:rFonts w:cs="Calibri"/>
                <w:sz w:val="20"/>
                <w:szCs w:val="20"/>
              </w:rPr>
            </w:pPr>
          </w:p>
          <w:p w:rsidR="00F669E4" w:rsidRDefault="00BA34DD" w:rsidP="00BA34DD">
            <w:pPr>
              <w:rPr>
                <w:sz w:val="20"/>
                <w:szCs w:val="20"/>
              </w:rPr>
            </w:pPr>
            <w:r>
              <w:rPr>
                <w:sz w:val="20"/>
              </w:rPr>
              <w:t>66. Famille hôte, exigences minimums du processus de présélection, éléments clés à prendre en compte; caractère convenable du milieu où vit la famille hôte</w:t>
            </w:r>
          </w:p>
          <w:p w:rsidR="00BA34DD" w:rsidRDefault="00BA34DD" w:rsidP="00BA34DD">
            <w:pPr>
              <w:rPr>
                <w:sz w:val="20"/>
                <w:szCs w:val="20"/>
              </w:rPr>
            </w:pPr>
          </w:p>
          <w:p w:rsidR="00BA34DD" w:rsidRDefault="007B6ADA" w:rsidP="00BA34DD">
            <w:pPr>
              <w:rPr>
                <w:sz w:val="20"/>
                <w:szCs w:val="20"/>
              </w:rPr>
            </w:pPr>
            <w:r>
              <w:rPr>
                <w:sz w:val="20"/>
              </w:rPr>
              <w:t>Les politiques et les consignes écrites de l’organisme de service prévoient qu’il doit notamment déterminer, au moment de présélectionner des familles hôtes potentielles, si le milieu où vit la famille hôte convient à la personne placée, en fonction de facteurs incluant notamment, mais non exclusivement : les objectifs, les centres d’intérêt, les relations sociales, les besoins en matière de santé et de sécurité et les antécédents culturels/linguistiques et religieux de la personne; les caractéristiques physiques de la résidence et de ses environs; et la proximité des membres de la famille naturelle de la personne</w:t>
            </w:r>
            <w:r w:rsidR="00B74868">
              <w:rPr>
                <w:sz w:val="20"/>
              </w:rPr>
              <w:t xml:space="preserve">. </w:t>
            </w:r>
          </w:p>
          <w:p w:rsidR="007B6ADA" w:rsidRDefault="007B6ADA" w:rsidP="00BA34DD">
            <w:pPr>
              <w:rPr>
                <w:rFonts w:cs="Calibri"/>
                <w:sz w:val="20"/>
                <w:szCs w:val="20"/>
              </w:rPr>
            </w:pPr>
          </w:p>
          <w:p w:rsidR="008336E0" w:rsidRDefault="008336E0" w:rsidP="008336E0">
            <w:pPr>
              <w:rPr>
                <w:rFonts w:cs="Calibri"/>
                <w:color w:val="000000"/>
              </w:rPr>
            </w:pPr>
            <w:r>
              <w:rPr>
                <w:color w:val="000000"/>
                <w:sz w:val="20"/>
              </w:rPr>
              <w:t>Directives en matière de politique s’appliquant aux organismes de service en ce qui a trait au Programme de placement en famille hôte 1.1</w:t>
            </w:r>
          </w:p>
          <w:p w:rsidR="00BA34DD" w:rsidRPr="0081122E" w:rsidRDefault="00BA34DD" w:rsidP="00BA34DD"/>
        </w:tc>
        <w:tc>
          <w:tcPr>
            <w:tcW w:w="3306" w:type="dxa"/>
            <w:tcBorders>
              <w:top w:val="single" w:sz="4" w:space="0" w:color="000000"/>
              <w:left w:val="single" w:sz="4" w:space="0" w:color="000000"/>
              <w:bottom w:val="single" w:sz="4" w:space="0" w:color="000000"/>
              <w:right w:val="single" w:sz="4" w:space="0" w:color="auto"/>
            </w:tcBorders>
          </w:tcPr>
          <w:p w:rsidR="00F669E4" w:rsidRPr="004648F2" w:rsidRDefault="00F669E4" w:rsidP="00C935E2">
            <w:pPr>
              <w:rPr>
                <w:rFonts w:cs="Calibri"/>
                <w:sz w:val="19"/>
                <w:szCs w:val="19"/>
              </w:rPr>
            </w:pPr>
          </w:p>
          <w:p w:rsidR="00516281" w:rsidRPr="004648F2" w:rsidRDefault="00516281" w:rsidP="00230AE4">
            <w:pPr>
              <w:rPr>
                <w:rFonts w:cs="Calibri"/>
                <w:sz w:val="19"/>
                <w:szCs w:val="19"/>
              </w:rPr>
            </w:pPr>
            <w:r w:rsidRPr="004648F2">
              <w:rPr>
                <w:sz w:val="19"/>
                <w:szCs w:val="19"/>
              </w:rPr>
              <w:t>Le but est de s’assurer que le processus de présélection des organismes de service s’appuie notamment sur des critères permettant d’examiner les demandes des familles hôtes potentielles et de déterminer si ces familles conviendraient à la personne placée</w:t>
            </w:r>
            <w:r w:rsidR="00B74868" w:rsidRPr="004648F2">
              <w:rPr>
                <w:sz w:val="19"/>
                <w:szCs w:val="19"/>
              </w:rPr>
              <w:t xml:space="preserve">. </w:t>
            </w:r>
            <w:r w:rsidRPr="004648F2">
              <w:rPr>
                <w:sz w:val="19"/>
                <w:szCs w:val="19"/>
              </w:rPr>
              <w:t>Les organismes peuvent tenir compte d’un éventail de facteurs, mais il est nécessaire de prendre en considération, à tout le moins, les critères énoncés dans les directives en matière de politique.</w:t>
            </w:r>
          </w:p>
          <w:p w:rsidR="00516281" w:rsidRPr="004648F2" w:rsidRDefault="00516281" w:rsidP="00230AE4">
            <w:pPr>
              <w:rPr>
                <w:rFonts w:cs="Calibri"/>
                <w:sz w:val="19"/>
                <w:szCs w:val="19"/>
              </w:rPr>
            </w:pPr>
          </w:p>
          <w:p w:rsidR="00230AE4" w:rsidRPr="004648F2" w:rsidRDefault="00516281" w:rsidP="00230AE4">
            <w:pPr>
              <w:rPr>
                <w:rFonts w:cs="Calibri"/>
                <w:sz w:val="19"/>
                <w:szCs w:val="19"/>
              </w:rPr>
            </w:pPr>
            <w:r w:rsidRPr="004648F2">
              <w:rPr>
                <w:sz w:val="19"/>
                <w:szCs w:val="19"/>
              </w:rPr>
              <w:t xml:space="preserve"> Il convient notamment de prendre en compte la personne ayant une déficience intellectuelle susceptible d’être placée auprès de la famille hôte potentielle, ainsi que les aspects de sa vie qui peuvent venir compléter ceux d</w:t>
            </w:r>
            <w:r w:rsidR="00B74868" w:rsidRPr="004648F2">
              <w:rPr>
                <w:sz w:val="19"/>
                <w:szCs w:val="19"/>
              </w:rPr>
              <w:t xml:space="preserve">e la famille hôte potentielle, </w:t>
            </w:r>
            <w:r w:rsidRPr="004648F2">
              <w:rPr>
                <w:sz w:val="19"/>
                <w:szCs w:val="19"/>
              </w:rPr>
              <w:t>et notamment :</w:t>
            </w:r>
          </w:p>
          <w:p w:rsidR="00230AE4" w:rsidRPr="004648F2" w:rsidRDefault="00230AE4" w:rsidP="00230AE4">
            <w:pPr>
              <w:rPr>
                <w:rFonts w:cs="Calibri"/>
                <w:sz w:val="19"/>
                <w:szCs w:val="19"/>
              </w:rPr>
            </w:pPr>
          </w:p>
          <w:p w:rsidR="00230AE4" w:rsidRPr="004648F2" w:rsidRDefault="00230AE4" w:rsidP="00230AE4">
            <w:pPr>
              <w:pStyle w:val="ListParagraph"/>
              <w:numPr>
                <w:ilvl w:val="0"/>
                <w:numId w:val="1"/>
              </w:numPr>
              <w:rPr>
                <w:rFonts w:cs="Calibri"/>
                <w:sz w:val="19"/>
                <w:szCs w:val="19"/>
              </w:rPr>
            </w:pPr>
            <w:r w:rsidRPr="004648F2">
              <w:rPr>
                <w:sz w:val="19"/>
                <w:szCs w:val="19"/>
              </w:rPr>
              <w:t>ses objectifs;</w:t>
            </w:r>
          </w:p>
          <w:p w:rsidR="00230AE4" w:rsidRPr="004648F2" w:rsidRDefault="00230AE4" w:rsidP="00230AE4">
            <w:pPr>
              <w:pStyle w:val="ListParagraph"/>
              <w:numPr>
                <w:ilvl w:val="0"/>
                <w:numId w:val="1"/>
              </w:numPr>
              <w:rPr>
                <w:rFonts w:cs="Calibri"/>
                <w:sz w:val="19"/>
                <w:szCs w:val="19"/>
              </w:rPr>
            </w:pPr>
            <w:r w:rsidRPr="004648F2">
              <w:rPr>
                <w:sz w:val="19"/>
                <w:szCs w:val="19"/>
              </w:rPr>
              <w:t>ses centres d’intérêt;</w:t>
            </w:r>
          </w:p>
          <w:p w:rsidR="00BA34DD" w:rsidRPr="004648F2" w:rsidRDefault="00230AE4" w:rsidP="00230AE4">
            <w:pPr>
              <w:pStyle w:val="ListParagraph"/>
              <w:numPr>
                <w:ilvl w:val="0"/>
                <w:numId w:val="1"/>
              </w:numPr>
              <w:rPr>
                <w:rFonts w:cs="Calibri"/>
                <w:sz w:val="19"/>
                <w:szCs w:val="19"/>
              </w:rPr>
            </w:pPr>
            <w:r w:rsidRPr="004648F2">
              <w:rPr>
                <w:sz w:val="19"/>
                <w:szCs w:val="19"/>
              </w:rPr>
              <w:t xml:space="preserve">ses besoins; </w:t>
            </w:r>
          </w:p>
          <w:p w:rsidR="00230AE4" w:rsidRPr="004648F2" w:rsidRDefault="00230AE4" w:rsidP="00230AE4">
            <w:pPr>
              <w:pStyle w:val="ListParagraph"/>
              <w:numPr>
                <w:ilvl w:val="0"/>
                <w:numId w:val="1"/>
              </w:numPr>
              <w:rPr>
                <w:rFonts w:cs="Calibri"/>
                <w:sz w:val="19"/>
                <w:szCs w:val="19"/>
              </w:rPr>
            </w:pPr>
            <w:r w:rsidRPr="004648F2">
              <w:rPr>
                <w:sz w:val="19"/>
                <w:szCs w:val="19"/>
              </w:rPr>
              <w:t>ses exigences culturelles ou linguistiques;</w:t>
            </w:r>
          </w:p>
          <w:p w:rsidR="00230AE4" w:rsidRPr="004648F2" w:rsidRDefault="00230AE4" w:rsidP="00230AE4">
            <w:pPr>
              <w:pStyle w:val="ListParagraph"/>
              <w:numPr>
                <w:ilvl w:val="0"/>
                <w:numId w:val="1"/>
              </w:numPr>
              <w:rPr>
                <w:rFonts w:cs="Calibri"/>
                <w:sz w:val="19"/>
                <w:szCs w:val="19"/>
              </w:rPr>
            </w:pPr>
            <w:r w:rsidRPr="004648F2">
              <w:rPr>
                <w:sz w:val="19"/>
                <w:szCs w:val="19"/>
              </w:rPr>
              <w:t>ses antécédents religieux;</w:t>
            </w:r>
          </w:p>
          <w:p w:rsidR="00230AE4" w:rsidRPr="004648F2" w:rsidRDefault="00230AE4" w:rsidP="00230AE4">
            <w:pPr>
              <w:pStyle w:val="ListParagraph"/>
              <w:numPr>
                <w:ilvl w:val="0"/>
                <w:numId w:val="1"/>
              </w:numPr>
              <w:rPr>
                <w:rFonts w:cs="Calibri"/>
                <w:sz w:val="19"/>
                <w:szCs w:val="19"/>
              </w:rPr>
            </w:pPr>
            <w:r w:rsidRPr="004648F2">
              <w:rPr>
                <w:sz w:val="19"/>
                <w:szCs w:val="19"/>
              </w:rPr>
              <w:t>les caractéristiques physiques de la résidence et de ses environs;</w:t>
            </w:r>
          </w:p>
          <w:p w:rsidR="00230AE4" w:rsidRPr="004648F2" w:rsidRDefault="00230AE4" w:rsidP="00230AE4">
            <w:pPr>
              <w:pStyle w:val="ListParagraph"/>
              <w:numPr>
                <w:ilvl w:val="0"/>
                <w:numId w:val="1"/>
              </w:numPr>
              <w:rPr>
                <w:rFonts w:cs="Calibri"/>
                <w:sz w:val="19"/>
                <w:szCs w:val="19"/>
              </w:rPr>
            </w:pPr>
            <w:r w:rsidRPr="004648F2">
              <w:rPr>
                <w:sz w:val="19"/>
                <w:szCs w:val="19"/>
              </w:rPr>
              <w:t>la proximité des membres de la famille naturelle;</w:t>
            </w:r>
          </w:p>
          <w:p w:rsidR="00230AE4" w:rsidRPr="004648F2" w:rsidRDefault="00230AE4" w:rsidP="00230AE4">
            <w:pPr>
              <w:pStyle w:val="ListParagraph"/>
              <w:numPr>
                <w:ilvl w:val="0"/>
                <w:numId w:val="1"/>
              </w:numPr>
              <w:rPr>
                <w:rFonts w:cs="Calibri"/>
                <w:sz w:val="19"/>
                <w:szCs w:val="19"/>
              </w:rPr>
            </w:pPr>
            <w:r w:rsidRPr="004648F2">
              <w:rPr>
                <w:sz w:val="19"/>
                <w:szCs w:val="19"/>
              </w:rPr>
              <w:t>tout autre facteur déterminant</w:t>
            </w:r>
          </w:p>
          <w:p w:rsidR="00030059" w:rsidRPr="004648F2" w:rsidRDefault="00030059" w:rsidP="00030059">
            <w:pPr>
              <w:rPr>
                <w:rFonts w:cs="Calibri"/>
                <w:sz w:val="19"/>
                <w:szCs w:val="19"/>
              </w:rPr>
            </w:pPr>
          </w:p>
          <w:p w:rsidR="00030059" w:rsidRPr="00030059" w:rsidRDefault="00030059" w:rsidP="00030059">
            <w:pPr>
              <w:rPr>
                <w:rFonts w:cs="Calibri"/>
                <w:sz w:val="20"/>
                <w:szCs w:val="20"/>
              </w:rPr>
            </w:pPr>
            <w:r w:rsidRPr="004648F2">
              <w:rPr>
                <w:sz w:val="19"/>
                <w:szCs w:val="19"/>
              </w:rPr>
              <w:t>dans le cadre du processus de présélection de l’organisme de service</w:t>
            </w:r>
            <w:r>
              <w:rPr>
                <w:sz w:val="20"/>
              </w:rPr>
              <w:t>.</w:t>
            </w:r>
          </w:p>
        </w:tc>
        <w:tc>
          <w:tcPr>
            <w:tcW w:w="1044" w:type="dxa"/>
            <w:tcBorders>
              <w:top w:val="single" w:sz="4" w:space="0" w:color="000000"/>
              <w:left w:val="single" w:sz="4" w:space="0" w:color="auto"/>
              <w:bottom w:val="single" w:sz="4" w:space="0" w:color="000000"/>
              <w:right w:val="single" w:sz="4" w:space="0" w:color="000000"/>
            </w:tcBorders>
          </w:tcPr>
          <w:p w:rsidR="00BA34DD" w:rsidRDefault="00BA34DD" w:rsidP="000C524B">
            <w:pPr>
              <w:rPr>
                <w:rFonts w:cs="Calibri"/>
                <w:sz w:val="20"/>
                <w:szCs w:val="20"/>
              </w:rPr>
            </w:pPr>
          </w:p>
          <w:p w:rsidR="00D9053E" w:rsidRPr="0081122E" w:rsidRDefault="001C48A3" w:rsidP="00B14788">
            <w:pPr>
              <w:jc w:val="center"/>
              <w:rPr>
                <w:rFonts w:cs="Calibri"/>
                <w:sz w:val="20"/>
                <w:szCs w:val="20"/>
              </w:rPr>
            </w:pPr>
            <w:r>
              <w:rPr>
                <w:sz w:val="20"/>
              </w:rPr>
              <w:t>FAIBLE</w:t>
            </w:r>
          </w:p>
        </w:tc>
        <w:tc>
          <w:tcPr>
            <w:tcW w:w="2610" w:type="dxa"/>
            <w:tcBorders>
              <w:top w:val="single" w:sz="4" w:space="0" w:color="000000"/>
              <w:left w:val="single" w:sz="4" w:space="0" w:color="000000"/>
              <w:bottom w:val="single" w:sz="4" w:space="0" w:color="000000"/>
              <w:right w:val="single" w:sz="4" w:space="0" w:color="000000"/>
            </w:tcBorders>
          </w:tcPr>
          <w:p w:rsidR="00F669E4" w:rsidRDefault="00F669E4" w:rsidP="00F863EC">
            <w:pPr>
              <w:rPr>
                <w:rFonts w:cs="Calibri"/>
                <w:sz w:val="20"/>
                <w:szCs w:val="20"/>
              </w:rPr>
            </w:pPr>
          </w:p>
          <w:p w:rsidR="008336E0" w:rsidRPr="0081122E" w:rsidRDefault="008336E0" w:rsidP="00F863EC">
            <w:pPr>
              <w:rPr>
                <w:rFonts w:cs="Calibri"/>
                <w:sz w:val="20"/>
                <w:szCs w:val="20"/>
              </w:rPr>
            </w:pPr>
            <w:r>
              <w:rPr>
                <w:sz w:val="20"/>
              </w:rPr>
              <w:t>Les politiques et les consignes de l’organisme de service tiennent compte du fait de savoir si le milieu où vit la famille hôte convient à la personne placée, en fonction de facteurs incluant notamment, mais non exclusivement : les objectifs, les centres d’intérêt, les besoins et les antécédents culturels/linguistiques et religieux de la personne; les caractéristiques physiques de la résidence et de ses environs; et la proximité des membres de la famille naturelle de la personne</w:t>
            </w:r>
            <w:r w:rsidR="00B74868">
              <w:rPr>
                <w:sz w:val="20"/>
              </w:rPr>
              <w:t xml:space="preserve">. </w:t>
            </w:r>
          </w:p>
        </w:tc>
        <w:tc>
          <w:tcPr>
            <w:tcW w:w="2175" w:type="dxa"/>
            <w:tcBorders>
              <w:top w:val="single" w:sz="4" w:space="0" w:color="000000"/>
              <w:left w:val="single" w:sz="4" w:space="0" w:color="000000"/>
              <w:bottom w:val="single" w:sz="4" w:space="0" w:color="000000"/>
              <w:right w:val="single" w:sz="4" w:space="0" w:color="000000"/>
            </w:tcBorders>
          </w:tcPr>
          <w:p w:rsidR="008336E0" w:rsidRDefault="008336E0" w:rsidP="007F0E49">
            <w:pPr>
              <w:rPr>
                <w:rFonts w:cs="Calibri"/>
                <w:sz w:val="20"/>
                <w:szCs w:val="20"/>
              </w:rPr>
            </w:pPr>
          </w:p>
          <w:p w:rsidR="00F669E4" w:rsidRPr="0081122E" w:rsidRDefault="007B6ADA">
            <w:pPr>
              <w:rPr>
                <w:rFonts w:cs="Calibri"/>
                <w:sz w:val="20"/>
                <w:szCs w:val="20"/>
              </w:rPr>
            </w:pPr>
            <w:r>
              <w:rPr>
                <w:sz w:val="20"/>
              </w:rPr>
              <w:t>Les politiques et les consignes relatives au processus de présélection des familles hôtes ne tiennent pas compte du fait de savoir si le milieu où vit la famille hôte convient à la personne placée, en fonction de facteurs incluant notamment, mais non exclusivement : les objectifs, les centres d’intérêt, les relations sociales, les besoins en matière de santé et de sécurité et les antécédents culturels/linguistiques et religieux de la personne; les caractéristiques physiques de la résidence et de ses environs; et la proximité des membres de la famille naturelle de la personne</w:t>
            </w:r>
            <w:r w:rsidR="00B74868">
              <w:rPr>
                <w:sz w:val="20"/>
              </w:rPr>
              <w:t xml:space="preserve">. </w:t>
            </w:r>
          </w:p>
        </w:tc>
        <w:tc>
          <w:tcPr>
            <w:tcW w:w="2175" w:type="dxa"/>
            <w:tcBorders>
              <w:top w:val="single" w:sz="4" w:space="0" w:color="000000"/>
              <w:left w:val="single" w:sz="4" w:space="0" w:color="000000"/>
              <w:bottom w:val="single" w:sz="4" w:space="0" w:color="000000"/>
              <w:right w:val="single" w:sz="4" w:space="0" w:color="000000"/>
            </w:tcBorders>
          </w:tcPr>
          <w:p w:rsidR="008336E0" w:rsidRDefault="008336E0" w:rsidP="007F0E49">
            <w:pPr>
              <w:rPr>
                <w:rFonts w:cs="Calibri"/>
                <w:sz w:val="20"/>
                <w:szCs w:val="20"/>
              </w:rPr>
            </w:pPr>
          </w:p>
          <w:p w:rsidR="00F669E4" w:rsidRDefault="00F669E4" w:rsidP="007F0E49">
            <w:pPr>
              <w:rPr>
                <w:rFonts w:cs="Calibri"/>
                <w:sz w:val="20"/>
                <w:szCs w:val="20"/>
              </w:rPr>
            </w:pPr>
            <w:r>
              <w:rPr>
                <w:sz w:val="20"/>
              </w:rPr>
              <w:t>Politiques et consignes écrites finales/approuvées et datées.</w:t>
            </w:r>
          </w:p>
        </w:tc>
      </w:tr>
    </w:tbl>
    <w:p w:rsidR="00186DAE" w:rsidRPr="0081122E" w:rsidRDefault="00186DAE">
      <w:pPr>
        <w:rPr>
          <w:rFonts w:cs="Calibri"/>
          <w:sz w:val="20"/>
          <w:szCs w:val="20"/>
        </w:rPr>
        <w:sectPr w:rsidR="00186DAE" w:rsidRPr="0081122E" w:rsidSect="004743DF">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14716" w:type="dxa"/>
        <w:tblInd w:w="95" w:type="dxa"/>
        <w:tblLayout w:type="fixed"/>
        <w:tblCellMar>
          <w:left w:w="0" w:type="dxa"/>
          <w:right w:w="0" w:type="dxa"/>
        </w:tblCellMar>
        <w:tblLook w:val="01E0" w:firstRow="1" w:lastRow="1" w:firstColumn="1" w:lastColumn="1" w:noHBand="0" w:noVBand="0"/>
      </w:tblPr>
      <w:tblGrid>
        <w:gridCol w:w="3288"/>
        <w:gridCol w:w="3462"/>
        <w:gridCol w:w="1080"/>
        <w:gridCol w:w="2610"/>
        <w:gridCol w:w="2056"/>
        <w:gridCol w:w="2220"/>
      </w:tblGrid>
      <w:tr w:rsidR="00C706A7" w:rsidRPr="0081122E" w:rsidTr="00637B60">
        <w:trPr>
          <w:trHeight w:val="769"/>
          <w:tblHeader/>
        </w:trPr>
        <w:tc>
          <w:tcPr>
            <w:tcW w:w="3288" w:type="dxa"/>
            <w:tcBorders>
              <w:top w:val="single" w:sz="4" w:space="0" w:color="000000"/>
              <w:left w:val="single" w:sz="4" w:space="0" w:color="000000"/>
              <w:bottom w:val="nil"/>
              <w:right w:val="single" w:sz="4" w:space="0" w:color="000000"/>
            </w:tcBorders>
            <w:shd w:val="clear" w:color="auto" w:fill="BFBFBF"/>
          </w:tcPr>
          <w:p w:rsidR="00F669E4" w:rsidRPr="00F71B89" w:rsidRDefault="00F669E4" w:rsidP="001729CE">
            <w:pPr>
              <w:pStyle w:val="TableParagraph"/>
              <w:spacing w:before="8" w:line="180" w:lineRule="exact"/>
              <w:rPr>
                <w:rFonts w:cs="Calibri"/>
                <w:b/>
              </w:rPr>
            </w:pPr>
          </w:p>
          <w:p w:rsidR="00F669E4" w:rsidRPr="00F71B89" w:rsidRDefault="00F669E4" w:rsidP="00F71B89">
            <w:pPr>
              <w:pStyle w:val="TableParagraph"/>
              <w:ind w:left="864"/>
              <w:rPr>
                <w:rFonts w:cs="Calibri"/>
                <w:b/>
                <w:bCs/>
              </w:rPr>
            </w:pPr>
            <w:r>
              <w:rPr>
                <w:b/>
              </w:rPr>
              <w:t>Politique et consignes</w:t>
            </w:r>
          </w:p>
          <w:p w:rsidR="00F669E4" w:rsidRPr="00F71B89" w:rsidRDefault="00F669E4" w:rsidP="008F7CFF">
            <w:pPr>
              <w:pStyle w:val="TableParagraph"/>
              <w:ind w:left="1480"/>
              <w:rPr>
                <w:rFonts w:cs="Calibri"/>
                <w:b/>
              </w:rPr>
            </w:pPr>
          </w:p>
        </w:tc>
        <w:tc>
          <w:tcPr>
            <w:tcW w:w="3462" w:type="dxa"/>
            <w:tcBorders>
              <w:top w:val="single" w:sz="4" w:space="0" w:color="000000"/>
              <w:left w:val="single" w:sz="4" w:space="0" w:color="auto"/>
              <w:bottom w:val="nil"/>
              <w:right w:val="single" w:sz="4" w:space="0" w:color="auto"/>
            </w:tcBorders>
            <w:shd w:val="clear" w:color="auto" w:fill="BFBFBF"/>
          </w:tcPr>
          <w:p w:rsidR="00F669E4" w:rsidRPr="00F71B89" w:rsidRDefault="00F669E4" w:rsidP="00182E21">
            <w:pPr>
              <w:jc w:val="center"/>
              <w:rPr>
                <w:rFonts w:cs="Calibri"/>
                <w:b/>
              </w:rPr>
            </w:pPr>
          </w:p>
          <w:p w:rsidR="00F669E4" w:rsidRPr="00F71B89" w:rsidRDefault="00F669E4" w:rsidP="00182E21">
            <w:pPr>
              <w:jc w:val="center"/>
              <w:rPr>
                <w:rFonts w:cs="Calibri"/>
                <w:b/>
              </w:rPr>
            </w:pPr>
            <w:r>
              <w:rPr>
                <w:b/>
              </w:rPr>
              <w:t>But</w:t>
            </w:r>
          </w:p>
        </w:tc>
        <w:tc>
          <w:tcPr>
            <w:tcW w:w="1080" w:type="dxa"/>
            <w:tcBorders>
              <w:top w:val="single" w:sz="4" w:space="0" w:color="000000"/>
              <w:left w:val="single" w:sz="4" w:space="0" w:color="auto"/>
              <w:bottom w:val="nil"/>
              <w:right w:val="single" w:sz="4" w:space="0" w:color="000000"/>
            </w:tcBorders>
            <w:shd w:val="clear" w:color="auto" w:fill="BFBFBF"/>
          </w:tcPr>
          <w:p w:rsidR="00F669E4" w:rsidRPr="00F71B89" w:rsidRDefault="00F669E4" w:rsidP="00182E21">
            <w:pPr>
              <w:jc w:val="center"/>
              <w:rPr>
                <w:rFonts w:cs="Calibri"/>
                <w:b/>
              </w:rPr>
            </w:pPr>
          </w:p>
          <w:p w:rsidR="00F669E4" w:rsidRPr="00F71B89" w:rsidRDefault="001C48A3">
            <w:pPr>
              <w:jc w:val="center"/>
              <w:rPr>
                <w:rFonts w:cs="Calibri"/>
              </w:rPr>
            </w:pPr>
            <w:r>
              <w:rPr>
                <w:b/>
              </w:rPr>
              <w:t>Risque</w:t>
            </w:r>
          </w:p>
        </w:tc>
        <w:tc>
          <w:tcPr>
            <w:tcW w:w="2610" w:type="dxa"/>
            <w:tcBorders>
              <w:top w:val="single" w:sz="4" w:space="0" w:color="000000"/>
              <w:left w:val="single" w:sz="4" w:space="0" w:color="000000"/>
              <w:bottom w:val="nil"/>
              <w:right w:val="single" w:sz="4" w:space="0" w:color="000000"/>
            </w:tcBorders>
            <w:shd w:val="clear" w:color="auto" w:fill="BFBFBF"/>
          </w:tcPr>
          <w:p w:rsidR="00F669E4" w:rsidRPr="00F71B89" w:rsidRDefault="00F669E4" w:rsidP="00B80154">
            <w:pPr>
              <w:pStyle w:val="TableParagraph"/>
              <w:rPr>
                <w:rFonts w:cs="Calibri"/>
                <w:b/>
              </w:rPr>
            </w:pPr>
          </w:p>
          <w:p w:rsidR="00F669E4" w:rsidRPr="00F71B89" w:rsidRDefault="00F669E4" w:rsidP="00F97EFB">
            <w:pPr>
              <w:jc w:val="center"/>
              <w:rPr>
                <w:rFonts w:cs="Calibri"/>
                <w:b/>
              </w:rPr>
            </w:pPr>
            <w:r>
              <w:rPr>
                <w:b/>
              </w:rPr>
              <w:t>Indicateur</w:t>
            </w:r>
          </w:p>
          <w:p w:rsidR="00F669E4" w:rsidRPr="00F71B89" w:rsidRDefault="00F669E4" w:rsidP="00F97EFB">
            <w:pPr>
              <w:jc w:val="center"/>
              <w:rPr>
                <w:rFonts w:cs="Calibri"/>
              </w:rPr>
            </w:pPr>
          </w:p>
        </w:tc>
        <w:tc>
          <w:tcPr>
            <w:tcW w:w="2056" w:type="dxa"/>
            <w:tcBorders>
              <w:top w:val="single" w:sz="4" w:space="0" w:color="000000"/>
              <w:left w:val="single" w:sz="4" w:space="0" w:color="000000"/>
              <w:bottom w:val="nil"/>
              <w:right w:val="single" w:sz="4" w:space="0" w:color="000000"/>
            </w:tcBorders>
            <w:shd w:val="clear" w:color="auto" w:fill="BFBFBF"/>
          </w:tcPr>
          <w:p w:rsidR="00F669E4" w:rsidRPr="00F71B89" w:rsidRDefault="00F669E4" w:rsidP="00F97EFB">
            <w:pPr>
              <w:pStyle w:val="TableParagraph"/>
              <w:spacing w:line="200" w:lineRule="exact"/>
              <w:ind w:left="378" w:hanging="292"/>
              <w:jc w:val="center"/>
              <w:rPr>
                <w:rFonts w:cs="Calibri"/>
                <w:b/>
              </w:rPr>
            </w:pPr>
          </w:p>
          <w:p w:rsidR="00F669E4" w:rsidRPr="00F71B89" w:rsidRDefault="00F669E4" w:rsidP="00F97EFB">
            <w:pPr>
              <w:pStyle w:val="TableParagraph"/>
              <w:spacing w:line="200" w:lineRule="exact"/>
              <w:ind w:left="378" w:hanging="292"/>
              <w:jc w:val="center"/>
              <w:rPr>
                <w:rFonts w:cs="Calibri"/>
                <w:b/>
              </w:rPr>
            </w:pPr>
            <w:r>
              <w:rPr>
                <w:b/>
              </w:rPr>
              <w:t>Non-conformité constatée</w:t>
            </w:r>
          </w:p>
        </w:tc>
        <w:tc>
          <w:tcPr>
            <w:tcW w:w="2220" w:type="dxa"/>
            <w:tcBorders>
              <w:top w:val="single" w:sz="4" w:space="0" w:color="000000"/>
              <w:left w:val="single" w:sz="4" w:space="0" w:color="000000"/>
              <w:bottom w:val="nil"/>
              <w:right w:val="single" w:sz="4" w:space="0" w:color="000000"/>
            </w:tcBorders>
            <w:shd w:val="clear" w:color="auto" w:fill="BFBFBF"/>
          </w:tcPr>
          <w:p w:rsidR="00F669E4" w:rsidRPr="00F71B89" w:rsidRDefault="00F669E4" w:rsidP="00F97EFB">
            <w:pPr>
              <w:pStyle w:val="TableParagraph"/>
              <w:spacing w:line="200" w:lineRule="exact"/>
              <w:ind w:left="378" w:hanging="292"/>
              <w:jc w:val="center"/>
              <w:rPr>
                <w:rFonts w:cs="Calibri"/>
                <w:b/>
              </w:rPr>
            </w:pPr>
          </w:p>
          <w:p w:rsidR="00F669E4" w:rsidRPr="00F71B89" w:rsidRDefault="00F669E4" w:rsidP="00F97EFB">
            <w:pPr>
              <w:pStyle w:val="TableParagraph"/>
              <w:spacing w:line="200" w:lineRule="exact"/>
              <w:ind w:left="378" w:hanging="292"/>
              <w:jc w:val="center"/>
              <w:rPr>
                <w:rFonts w:cs="Calibri"/>
                <w:b/>
              </w:rPr>
            </w:pPr>
            <w:r>
              <w:rPr>
                <w:b/>
              </w:rPr>
              <w:t>Exigence de conformité</w:t>
            </w:r>
          </w:p>
        </w:tc>
      </w:tr>
      <w:tr w:rsidR="00F669E4" w:rsidRPr="0081122E" w:rsidTr="00637B60">
        <w:trPr>
          <w:trHeight w:hRule="exact" w:val="7287"/>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16ACC" w:rsidRDefault="00116ACC" w:rsidP="00116ACC">
            <w:pPr>
              <w:pStyle w:val="TableParagraph"/>
              <w:spacing w:line="195" w:lineRule="exact"/>
              <w:rPr>
                <w:rFonts w:cs="Calibri"/>
                <w:sz w:val="20"/>
                <w:szCs w:val="20"/>
              </w:rPr>
            </w:pPr>
          </w:p>
          <w:p w:rsidR="00F669E4" w:rsidRPr="0081122E" w:rsidRDefault="00116ACC" w:rsidP="00116ACC">
            <w:pPr>
              <w:pStyle w:val="TableParagraph"/>
              <w:spacing w:line="195" w:lineRule="exact"/>
              <w:rPr>
                <w:rFonts w:cs="Calibri"/>
                <w:sz w:val="20"/>
                <w:szCs w:val="20"/>
              </w:rPr>
            </w:pPr>
            <w:r>
              <w:rPr>
                <w:sz w:val="20"/>
              </w:rPr>
              <w:t>67. Famille hôte, exigences minimums du processus de présélection, éléments clés à prendre en compte; orientation, formation, surveillance, évaluation</w:t>
            </w:r>
          </w:p>
          <w:p w:rsidR="00F669E4" w:rsidRDefault="00F669E4" w:rsidP="00786D88">
            <w:pPr>
              <w:pStyle w:val="TableParagraph"/>
              <w:spacing w:line="195" w:lineRule="exact"/>
              <w:ind w:left="35"/>
              <w:rPr>
                <w:rFonts w:cs="Calibri"/>
                <w:sz w:val="20"/>
                <w:szCs w:val="20"/>
              </w:rPr>
            </w:pPr>
          </w:p>
          <w:p w:rsidR="00116ACC" w:rsidRDefault="001C48A3" w:rsidP="00116ACC">
            <w:pPr>
              <w:rPr>
                <w:sz w:val="20"/>
                <w:szCs w:val="20"/>
              </w:rPr>
            </w:pPr>
            <w:r>
              <w:rPr>
                <w:sz w:val="20"/>
              </w:rPr>
              <w:t xml:space="preserve">Les politiques et les consignes écrites de l’organisme de service prévoient qu’il doit notamment déterminer, au moment de présélectionner des familles hôtes potentielles, si la famille hôte est disposée à participer à des activités d’orientation et de formation, ainsi qu’à des activités de surveillance et d’évaluation continues, et </w:t>
            </w:r>
            <w:r w:rsidR="00686C0F">
              <w:rPr>
                <w:sz w:val="20"/>
              </w:rPr>
              <w:t>est</w:t>
            </w:r>
            <w:r>
              <w:rPr>
                <w:sz w:val="20"/>
              </w:rPr>
              <w:t xml:space="preserve"> disponible à cette fin, comme prévu dans les politiques et consignes de l’organisme (qui doivent être conformes aux directives en matière de politique du MSSC) et dans la convention de service. </w:t>
            </w:r>
          </w:p>
          <w:p w:rsidR="001C48A3" w:rsidRDefault="001C48A3" w:rsidP="00116ACC">
            <w:pPr>
              <w:rPr>
                <w:rFonts w:cs="Calibri"/>
                <w:color w:val="000000"/>
                <w:sz w:val="20"/>
                <w:szCs w:val="20"/>
              </w:rPr>
            </w:pPr>
          </w:p>
          <w:p w:rsidR="00116ACC" w:rsidRDefault="00116ACC" w:rsidP="00116ACC">
            <w:pPr>
              <w:rPr>
                <w:rFonts w:cs="Calibri"/>
                <w:color w:val="000000"/>
              </w:rPr>
            </w:pPr>
            <w:r>
              <w:rPr>
                <w:color w:val="000000"/>
                <w:sz w:val="20"/>
              </w:rPr>
              <w:t>Directives en matière de politique s’appliquant aux organismes de service en ce qui a trait au Programme de placement en famille hôte 1.1</w:t>
            </w:r>
          </w:p>
          <w:p w:rsidR="00116ACC" w:rsidRPr="00116ACC" w:rsidRDefault="00116ACC" w:rsidP="00116ACC">
            <w:pPr>
              <w:rPr>
                <w:sz w:val="20"/>
                <w:szCs w:val="20"/>
              </w:rPr>
            </w:pPr>
          </w:p>
        </w:tc>
        <w:tc>
          <w:tcPr>
            <w:tcW w:w="3462" w:type="dxa"/>
            <w:tcBorders>
              <w:top w:val="single" w:sz="4" w:space="0" w:color="000000"/>
              <w:left w:val="single" w:sz="4" w:space="0" w:color="auto"/>
              <w:bottom w:val="single" w:sz="4" w:space="0" w:color="000000"/>
              <w:right w:val="single" w:sz="4" w:space="0" w:color="auto"/>
            </w:tcBorders>
          </w:tcPr>
          <w:p w:rsidR="00116ACC" w:rsidRDefault="00116ACC" w:rsidP="00620357">
            <w:pPr>
              <w:rPr>
                <w:rFonts w:cs="Calibri"/>
                <w:sz w:val="20"/>
                <w:szCs w:val="20"/>
              </w:rPr>
            </w:pPr>
          </w:p>
          <w:p w:rsidR="002F3431" w:rsidRDefault="00030059" w:rsidP="002F3431">
            <w:pPr>
              <w:rPr>
                <w:rFonts w:cs="Calibri"/>
                <w:sz w:val="20"/>
                <w:szCs w:val="20"/>
              </w:rPr>
            </w:pPr>
            <w:r>
              <w:rPr>
                <w:sz w:val="20"/>
              </w:rPr>
              <w:t>Le but est de s’assurer que le processus de présélection des organismes de service s’appuie notamment sur des critères permettant d’examiner les demandes des familles hôtes potentielles et de déterminer si ces familles conviendraient à la personne placée</w:t>
            </w:r>
            <w:r w:rsidR="00B74868">
              <w:rPr>
                <w:sz w:val="20"/>
              </w:rPr>
              <w:t xml:space="preserve">. </w:t>
            </w:r>
            <w:r>
              <w:rPr>
                <w:sz w:val="20"/>
              </w:rPr>
              <w:t>Les organismes peuvent tenir compte d’un éventail de facteurs, mais il est nécessaire de prendre en considération, à tout le moins, les critères énoncés dans les directives en matière de politique.</w:t>
            </w:r>
          </w:p>
          <w:p w:rsidR="001C48A3" w:rsidRDefault="001C48A3" w:rsidP="002F3431">
            <w:pPr>
              <w:rPr>
                <w:rFonts w:cs="Calibri"/>
                <w:sz w:val="20"/>
                <w:szCs w:val="20"/>
              </w:rPr>
            </w:pPr>
          </w:p>
          <w:p w:rsidR="009C43B6" w:rsidRPr="009C43B6" w:rsidRDefault="002F3431" w:rsidP="00030059">
            <w:pPr>
              <w:rPr>
                <w:rFonts w:cs="Calibri"/>
                <w:sz w:val="20"/>
                <w:szCs w:val="20"/>
              </w:rPr>
            </w:pPr>
            <w:r>
              <w:rPr>
                <w:rFonts w:cstheme="minorHAnsi"/>
                <w:sz w:val="20"/>
              </w:rPr>
              <w:t>Il convient notamment de prendre en compte les activités d’orientation et de formation, ainsi que les activités de surveillance et d’évaluation continues</w:t>
            </w:r>
            <w:r w:rsidR="00B74868">
              <w:rPr>
                <w:rFonts w:cstheme="minorHAnsi"/>
                <w:sz w:val="20"/>
              </w:rPr>
              <w:t xml:space="preserve">. </w:t>
            </w:r>
            <w:r>
              <w:rPr>
                <w:rFonts w:cstheme="minorHAnsi"/>
                <w:sz w:val="20"/>
              </w:rPr>
              <w:t>La formation désigne une activité organisée visant à transmettre à une personne de l’information ou des instructions lui permettant d’améliorer son rendement ou d’atteindre un niveau requis de connaissances ou de compétences.</w:t>
            </w:r>
          </w:p>
        </w:tc>
        <w:tc>
          <w:tcPr>
            <w:tcW w:w="1080" w:type="dxa"/>
            <w:tcBorders>
              <w:top w:val="single" w:sz="4" w:space="0" w:color="000000"/>
              <w:left w:val="single" w:sz="4" w:space="0" w:color="auto"/>
              <w:bottom w:val="single" w:sz="4" w:space="0" w:color="000000"/>
              <w:right w:val="single" w:sz="4" w:space="0" w:color="000000"/>
            </w:tcBorders>
          </w:tcPr>
          <w:p w:rsidR="00116ACC" w:rsidRDefault="00116ACC" w:rsidP="000C524B">
            <w:pPr>
              <w:rPr>
                <w:rFonts w:cs="Calibri"/>
                <w:sz w:val="20"/>
                <w:szCs w:val="20"/>
              </w:rPr>
            </w:pPr>
          </w:p>
          <w:p w:rsidR="00F669E4" w:rsidRPr="0081122E" w:rsidRDefault="00B14788" w:rsidP="00116ACC">
            <w:pPr>
              <w:jc w:val="center"/>
              <w:rPr>
                <w:rFonts w:cs="Calibri"/>
                <w:sz w:val="20"/>
                <w:szCs w:val="20"/>
              </w:rPr>
            </w:pPr>
            <w:r>
              <w:rPr>
                <w:sz w:val="20"/>
              </w:rPr>
              <w:t>FAIBLE</w:t>
            </w:r>
          </w:p>
        </w:tc>
        <w:tc>
          <w:tcPr>
            <w:tcW w:w="2610" w:type="dxa"/>
            <w:tcBorders>
              <w:top w:val="single" w:sz="4" w:space="0" w:color="000000"/>
              <w:left w:val="single" w:sz="4" w:space="0" w:color="000000"/>
              <w:bottom w:val="single" w:sz="4" w:space="0" w:color="000000"/>
              <w:right w:val="single" w:sz="4" w:space="0" w:color="000000"/>
            </w:tcBorders>
          </w:tcPr>
          <w:p w:rsidR="00116ACC" w:rsidRDefault="00116ACC" w:rsidP="00A51914">
            <w:pPr>
              <w:rPr>
                <w:rFonts w:cs="Calibri"/>
                <w:sz w:val="20"/>
                <w:szCs w:val="20"/>
              </w:rPr>
            </w:pPr>
          </w:p>
          <w:p w:rsidR="00F669E4" w:rsidRPr="0081122E" w:rsidRDefault="00116ACC" w:rsidP="0032553E">
            <w:pPr>
              <w:rPr>
                <w:rFonts w:cs="Calibri"/>
                <w:sz w:val="20"/>
                <w:szCs w:val="20"/>
              </w:rPr>
            </w:pPr>
            <w:r>
              <w:rPr>
                <w:sz w:val="20"/>
              </w:rPr>
              <w:t xml:space="preserve">Les politiques et les consignes écrites de l’organisme de service tiennent compte du fait de savoir si la famille hôte est disposée à participer à des activités d’orientation et de formation, ainsi qu’à des activités de surveillance et d’évaluation continues, et </w:t>
            </w:r>
            <w:r w:rsidR="00686C0F">
              <w:rPr>
                <w:sz w:val="20"/>
              </w:rPr>
              <w:t xml:space="preserve">est </w:t>
            </w:r>
            <w:r>
              <w:rPr>
                <w:sz w:val="20"/>
              </w:rPr>
              <w:t>disponible à cette fin, comme prévu dans les politiques et consignes de l’organisme et dans la convention de service</w:t>
            </w:r>
            <w:r w:rsidR="00B74868">
              <w:rPr>
                <w:sz w:val="20"/>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116ACC" w:rsidRDefault="00116ACC" w:rsidP="00F746B0">
            <w:pPr>
              <w:rPr>
                <w:rFonts w:cs="Calibri"/>
                <w:sz w:val="20"/>
                <w:szCs w:val="20"/>
              </w:rPr>
            </w:pPr>
          </w:p>
          <w:p w:rsidR="00F669E4" w:rsidRPr="0081122E" w:rsidRDefault="001C48A3" w:rsidP="00F746B0">
            <w:pPr>
              <w:rPr>
                <w:rFonts w:cs="Calibri"/>
                <w:sz w:val="20"/>
                <w:szCs w:val="20"/>
              </w:rPr>
            </w:pPr>
            <w:r>
              <w:rPr>
                <w:sz w:val="20"/>
              </w:rPr>
              <w:t xml:space="preserve">Les politiques et les consignes relatives au processus de présélection des familles hôtes ne tiennent pas compte du fait de savoir si la famille hôte est disposée à participer à des activités d’orientation et de formation, ainsi qu’à des activités de surveillance et d’évaluation continues, et </w:t>
            </w:r>
            <w:r w:rsidR="00686C0F">
              <w:rPr>
                <w:sz w:val="20"/>
              </w:rPr>
              <w:t xml:space="preserve">est </w:t>
            </w:r>
            <w:r>
              <w:rPr>
                <w:sz w:val="20"/>
              </w:rPr>
              <w:t>disponible à cette fin, comme prévu dans les politiques et consignes de l’organisme (qui doivent être conformes aux directives en matière de politique du MSSC) et dans la convention de service.</w:t>
            </w:r>
          </w:p>
        </w:tc>
        <w:tc>
          <w:tcPr>
            <w:tcW w:w="2220" w:type="dxa"/>
            <w:tcBorders>
              <w:top w:val="single" w:sz="4" w:space="0" w:color="000000"/>
              <w:left w:val="single" w:sz="4" w:space="0" w:color="000000"/>
              <w:bottom w:val="single" w:sz="4" w:space="0" w:color="000000"/>
              <w:right w:val="single" w:sz="4" w:space="0" w:color="000000"/>
            </w:tcBorders>
          </w:tcPr>
          <w:p w:rsidR="00116ACC" w:rsidRDefault="00116ACC" w:rsidP="00F746B0">
            <w:pPr>
              <w:rPr>
                <w:rFonts w:cs="Calibri"/>
                <w:sz w:val="20"/>
                <w:szCs w:val="20"/>
              </w:rPr>
            </w:pPr>
          </w:p>
          <w:p w:rsidR="00F669E4" w:rsidRDefault="00F669E4" w:rsidP="00F746B0">
            <w:pPr>
              <w:rPr>
                <w:rFonts w:cs="Calibri"/>
                <w:sz w:val="20"/>
                <w:szCs w:val="20"/>
              </w:rPr>
            </w:pPr>
            <w:r>
              <w:rPr>
                <w:sz w:val="20"/>
              </w:rPr>
              <w:t>Politiques et consignes écrites finales/approuvées et datées.</w:t>
            </w:r>
          </w:p>
        </w:tc>
      </w:tr>
      <w:tr w:rsidR="00F669E4" w:rsidRPr="0081122E" w:rsidTr="00637B60">
        <w:trPr>
          <w:trHeight w:hRule="exact" w:val="787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16ACC" w:rsidRDefault="00116ACC" w:rsidP="00A331B4">
            <w:pPr>
              <w:pStyle w:val="TableParagraph"/>
              <w:spacing w:line="200" w:lineRule="exact"/>
              <w:ind w:left="35" w:right="55"/>
              <w:rPr>
                <w:rFonts w:cs="Calibri"/>
                <w:sz w:val="20"/>
                <w:szCs w:val="20"/>
              </w:rPr>
            </w:pPr>
          </w:p>
          <w:p w:rsidR="00F669E4" w:rsidRDefault="00116ACC" w:rsidP="00A331B4">
            <w:pPr>
              <w:pStyle w:val="TableParagraph"/>
              <w:spacing w:line="200" w:lineRule="exact"/>
              <w:ind w:left="35" w:right="55"/>
              <w:rPr>
                <w:rFonts w:cs="Calibri"/>
                <w:sz w:val="20"/>
                <w:szCs w:val="20"/>
              </w:rPr>
            </w:pPr>
            <w:r>
              <w:rPr>
                <w:sz w:val="20"/>
              </w:rPr>
              <w:t>68</w:t>
            </w:r>
            <w:r w:rsidR="00B74868">
              <w:rPr>
                <w:sz w:val="20"/>
              </w:rPr>
              <w:t xml:space="preserve">. </w:t>
            </w:r>
            <w:r>
              <w:rPr>
                <w:sz w:val="20"/>
              </w:rPr>
              <w:t>Soutien et supervision; séances de formation et d’orientation</w:t>
            </w:r>
          </w:p>
          <w:p w:rsidR="00116ACC" w:rsidRPr="0081122E" w:rsidRDefault="00116ACC" w:rsidP="00A331B4">
            <w:pPr>
              <w:pStyle w:val="TableParagraph"/>
              <w:spacing w:line="200" w:lineRule="exact"/>
              <w:ind w:left="35" w:right="55"/>
              <w:rPr>
                <w:rFonts w:cs="Calibri"/>
                <w:sz w:val="20"/>
                <w:szCs w:val="20"/>
              </w:rPr>
            </w:pPr>
          </w:p>
          <w:p w:rsidR="007B6ADA" w:rsidRDefault="00704F8A" w:rsidP="00116ACC">
            <w:pPr>
              <w:rPr>
                <w:sz w:val="20"/>
                <w:szCs w:val="20"/>
              </w:rPr>
            </w:pPr>
            <w:r>
              <w:rPr>
                <w:sz w:val="20"/>
              </w:rPr>
              <w:t xml:space="preserve">Les organismes de service qui administrent le Programme de placement en famille hôte doivent établir des politiques et des consignes qui traitent du fait de fournir une formation et des services d’orientation à la famille hôte, y compris en ce qui concerne l’obtention d’un certificat initial de réanimation cardio-respiratoire (RCR) et de secourisme, la préservation de la confidentialité, la prévention et le signalement des mauvais traitements, le signalement d’incidents graves (selon les politiques et les consignes de l’organisme), le traitement des plaintes, </w:t>
            </w:r>
            <w:r w:rsidR="004F4C23">
              <w:rPr>
                <w:sz w:val="20"/>
              </w:rPr>
              <w:t>le respect des droits et la prestation des soins</w:t>
            </w:r>
            <w:r>
              <w:rPr>
                <w:sz w:val="20"/>
              </w:rPr>
              <w:t>, ou de s’assurer que la famille hôte a suivi une formation et des séances d’orientation équivalente.</w:t>
            </w:r>
          </w:p>
          <w:p w:rsidR="00704F8A" w:rsidRDefault="00704F8A" w:rsidP="00116ACC">
            <w:pPr>
              <w:rPr>
                <w:rFonts w:cs="Calibri"/>
                <w:color w:val="000000"/>
                <w:sz w:val="20"/>
                <w:szCs w:val="20"/>
              </w:rPr>
            </w:pPr>
          </w:p>
          <w:p w:rsidR="00116ACC" w:rsidRDefault="00116ACC" w:rsidP="00116ACC">
            <w:pPr>
              <w:rPr>
                <w:rFonts w:cs="Calibri"/>
                <w:color w:val="000000"/>
              </w:rPr>
            </w:pPr>
            <w:r>
              <w:rPr>
                <w:color w:val="000000"/>
                <w:sz w:val="20"/>
              </w:rPr>
              <w:t>Directives en matière de politique s’appliquant aux organismes de service en ce qui a trait au Programme de placement en famille hôte 3.1</w:t>
            </w:r>
          </w:p>
          <w:p w:rsidR="00F669E4" w:rsidRPr="0081122E" w:rsidRDefault="00F669E4" w:rsidP="00A331B4">
            <w:pPr>
              <w:pStyle w:val="TableParagraph"/>
              <w:spacing w:before="48"/>
              <w:rPr>
                <w:rFonts w:cs="Calibri"/>
                <w:sz w:val="20"/>
                <w:szCs w:val="20"/>
              </w:rPr>
            </w:pPr>
          </w:p>
          <w:p w:rsidR="00F669E4" w:rsidRPr="0081122E" w:rsidRDefault="00F669E4" w:rsidP="00F71B89">
            <w:pPr>
              <w:rPr>
                <w:rFonts w:cs="Calibri"/>
                <w:sz w:val="20"/>
                <w:szCs w:val="20"/>
              </w:rPr>
            </w:pPr>
          </w:p>
        </w:tc>
        <w:tc>
          <w:tcPr>
            <w:tcW w:w="3462" w:type="dxa"/>
            <w:tcBorders>
              <w:top w:val="single" w:sz="4" w:space="0" w:color="000000"/>
              <w:left w:val="single" w:sz="4" w:space="0" w:color="auto"/>
              <w:bottom w:val="single" w:sz="4" w:space="0" w:color="000000"/>
              <w:right w:val="single" w:sz="4" w:space="0" w:color="auto"/>
            </w:tcBorders>
          </w:tcPr>
          <w:p w:rsidR="00F669E4" w:rsidRDefault="00F669E4" w:rsidP="00116ACC">
            <w:pPr>
              <w:rPr>
                <w:rFonts w:cs="Calibri"/>
                <w:sz w:val="20"/>
                <w:szCs w:val="20"/>
              </w:rPr>
            </w:pPr>
          </w:p>
          <w:p w:rsidR="002F3431" w:rsidRDefault="002F3431" w:rsidP="00030059">
            <w:pPr>
              <w:rPr>
                <w:rFonts w:asciiTheme="minorHAnsi" w:hAnsiTheme="minorHAnsi" w:cstheme="minorHAnsi"/>
                <w:sz w:val="20"/>
                <w:szCs w:val="20"/>
              </w:rPr>
            </w:pPr>
            <w:r>
              <w:rPr>
                <w:rFonts w:asciiTheme="minorHAnsi" w:hAnsiTheme="minorHAnsi" w:cstheme="minorHAnsi"/>
                <w:sz w:val="20"/>
              </w:rPr>
              <w:t>Les activités de soutien et de supervision continues réalisées par l’organisme auprès des personnes placées et des familles hôtes contribuent à établir et à entretenir des relations durables</w:t>
            </w:r>
            <w:r w:rsidR="00B74868">
              <w:rPr>
                <w:rFonts w:asciiTheme="minorHAnsi" w:hAnsiTheme="minorHAnsi" w:cstheme="minorHAnsi"/>
                <w:sz w:val="20"/>
              </w:rPr>
              <w:t xml:space="preserve">. </w:t>
            </w:r>
            <w:r>
              <w:rPr>
                <w:rFonts w:asciiTheme="minorHAnsi" w:hAnsiTheme="minorHAnsi" w:cstheme="minorHAnsi"/>
                <w:sz w:val="20"/>
              </w:rPr>
              <w:t xml:space="preserve">Elles permettent également de promouvoir et de garantir le bien-être de toutes les personnes participant au placement en famille hôte. </w:t>
            </w:r>
          </w:p>
          <w:p w:rsidR="002F3431" w:rsidRDefault="002F3431" w:rsidP="00030059">
            <w:pPr>
              <w:rPr>
                <w:rFonts w:asciiTheme="minorHAnsi" w:hAnsiTheme="minorHAnsi" w:cstheme="minorHAnsi"/>
                <w:sz w:val="20"/>
                <w:szCs w:val="20"/>
              </w:rPr>
            </w:pPr>
          </w:p>
          <w:p w:rsidR="00030059" w:rsidRDefault="00030059" w:rsidP="00030059">
            <w:pPr>
              <w:rPr>
                <w:rFonts w:asciiTheme="minorHAnsi" w:hAnsiTheme="minorHAnsi" w:cstheme="minorHAnsi"/>
                <w:sz w:val="20"/>
                <w:szCs w:val="20"/>
              </w:rPr>
            </w:pPr>
            <w:r>
              <w:rPr>
                <w:rFonts w:asciiTheme="minorHAnsi" w:hAnsiTheme="minorHAnsi" w:cstheme="minorHAnsi"/>
                <w:sz w:val="20"/>
              </w:rPr>
              <w:t>La formation vise le fournisseur principal ou les fournisseurs principaux de soins.</w:t>
            </w:r>
          </w:p>
          <w:p w:rsidR="00030059" w:rsidRDefault="00030059" w:rsidP="00030059">
            <w:pPr>
              <w:rPr>
                <w:rFonts w:asciiTheme="minorHAnsi" w:hAnsiTheme="minorHAnsi" w:cstheme="minorHAnsi"/>
                <w:sz w:val="20"/>
                <w:szCs w:val="20"/>
              </w:rPr>
            </w:pPr>
          </w:p>
          <w:p w:rsidR="00030059" w:rsidRDefault="00030059" w:rsidP="00030059">
            <w:pPr>
              <w:rPr>
                <w:rFonts w:asciiTheme="minorHAnsi" w:hAnsiTheme="minorHAnsi" w:cstheme="minorHAnsi"/>
                <w:sz w:val="20"/>
                <w:szCs w:val="20"/>
              </w:rPr>
            </w:pPr>
            <w:r>
              <w:rPr>
                <w:rFonts w:asciiTheme="minorHAnsi" w:hAnsiTheme="minorHAnsi" w:cstheme="minorHAnsi"/>
                <w:sz w:val="20"/>
              </w:rPr>
              <w:t>Elle peut aussi être dispensée à d’autres membres de la famille en fonction des politiques et consignes de l’organisme</w:t>
            </w:r>
            <w:r w:rsidR="00B74868">
              <w:rPr>
                <w:rFonts w:asciiTheme="minorHAnsi" w:hAnsiTheme="minorHAnsi" w:cstheme="minorHAnsi"/>
                <w:sz w:val="20"/>
              </w:rPr>
              <w:t xml:space="preserve">. </w:t>
            </w:r>
          </w:p>
          <w:p w:rsidR="00030059" w:rsidRDefault="00030059" w:rsidP="00030059">
            <w:pPr>
              <w:rPr>
                <w:rFonts w:asciiTheme="minorHAnsi" w:hAnsiTheme="minorHAnsi" w:cstheme="minorHAnsi"/>
                <w:sz w:val="20"/>
                <w:szCs w:val="20"/>
              </w:rPr>
            </w:pPr>
          </w:p>
          <w:p w:rsidR="00030059" w:rsidRDefault="00030059" w:rsidP="00030059">
            <w:pPr>
              <w:rPr>
                <w:rFonts w:asciiTheme="minorHAnsi" w:hAnsiTheme="minorHAnsi" w:cstheme="minorHAnsi"/>
                <w:sz w:val="20"/>
                <w:szCs w:val="20"/>
              </w:rPr>
            </w:pPr>
            <w:r>
              <w:rPr>
                <w:rFonts w:asciiTheme="minorHAnsi" w:hAnsiTheme="minorHAnsi" w:cstheme="minorHAnsi"/>
                <w:sz w:val="20"/>
              </w:rPr>
              <w:t>À compter du 1</w:t>
            </w:r>
            <w:r>
              <w:rPr>
                <w:rFonts w:asciiTheme="minorHAnsi" w:hAnsiTheme="minorHAnsi" w:cstheme="minorHAnsi"/>
                <w:sz w:val="20"/>
                <w:vertAlign w:val="superscript"/>
              </w:rPr>
              <w:t>er</w:t>
            </w:r>
            <w:r>
              <w:rPr>
                <w:rFonts w:asciiTheme="minorHAnsi" w:hAnsiTheme="minorHAnsi" w:cstheme="minorHAnsi"/>
                <w:sz w:val="20"/>
              </w:rPr>
              <w:t> avril 2016, pour tous les nouveaux placements, au moins un des fournisseurs principaux de soins doit être titulaire d’un certificat de RCR et de secourisme.</w:t>
            </w:r>
          </w:p>
          <w:p w:rsidR="00030059" w:rsidRDefault="00030059" w:rsidP="00030059">
            <w:pPr>
              <w:rPr>
                <w:rFonts w:asciiTheme="minorHAnsi" w:hAnsiTheme="minorHAnsi" w:cstheme="minorHAnsi"/>
                <w:sz w:val="20"/>
                <w:szCs w:val="20"/>
              </w:rPr>
            </w:pPr>
          </w:p>
          <w:p w:rsidR="00030059" w:rsidRPr="00030059" w:rsidRDefault="00030059" w:rsidP="00030059">
            <w:pPr>
              <w:rPr>
                <w:rFonts w:asciiTheme="minorHAnsi" w:hAnsiTheme="minorHAnsi" w:cstheme="minorHAnsi"/>
                <w:sz w:val="20"/>
                <w:szCs w:val="20"/>
              </w:rPr>
            </w:pPr>
            <w:r>
              <w:rPr>
                <w:rFonts w:asciiTheme="minorHAnsi" w:hAnsiTheme="minorHAnsi" w:cstheme="minorHAnsi"/>
                <w:sz w:val="20"/>
              </w:rPr>
              <w:t>L’organisme doit veiller au renouvellement des certificats après avoir pris en compte les besoins en matière de santé et de sécurité.</w:t>
            </w:r>
          </w:p>
        </w:tc>
        <w:tc>
          <w:tcPr>
            <w:tcW w:w="1080" w:type="dxa"/>
            <w:tcBorders>
              <w:top w:val="single" w:sz="4" w:space="0" w:color="000000"/>
              <w:left w:val="single" w:sz="4" w:space="0" w:color="auto"/>
              <w:bottom w:val="single" w:sz="4" w:space="0" w:color="000000"/>
              <w:right w:val="single" w:sz="4" w:space="0" w:color="000000"/>
            </w:tcBorders>
          </w:tcPr>
          <w:p w:rsidR="00116ACC" w:rsidRDefault="00116ACC" w:rsidP="000C524B">
            <w:pPr>
              <w:rPr>
                <w:rFonts w:cs="Calibri"/>
                <w:sz w:val="20"/>
                <w:szCs w:val="20"/>
              </w:rPr>
            </w:pPr>
          </w:p>
          <w:p w:rsidR="00F669E4" w:rsidRPr="0081122E" w:rsidRDefault="00B14788" w:rsidP="00116ACC">
            <w:pPr>
              <w:jc w:val="center"/>
              <w:rPr>
                <w:rFonts w:cs="Calibri"/>
                <w:sz w:val="20"/>
                <w:szCs w:val="20"/>
              </w:rPr>
            </w:pPr>
            <w:r>
              <w:rPr>
                <w:sz w:val="20"/>
              </w:rPr>
              <w:t>FAIBLE</w:t>
            </w:r>
          </w:p>
        </w:tc>
        <w:tc>
          <w:tcPr>
            <w:tcW w:w="2610" w:type="dxa"/>
            <w:tcBorders>
              <w:top w:val="single" w:sz="4" w:space="0" w:color="000000"/>
              <w:left w:val="single" w:sz="4" w:space="0" w:color="000000"/>
              <w:bottom w:val="single" w:sz="4" w:space="0" w:color="000000"/>
              <w:right w:val="single" w:sz="4" w:space="0" w:color="000000"/>
            </w:tcBorders>
          </w:tcPr>
          <w:p w:rsidR="00116ACC" w:rsidRDefault="00116ACC" w:rsidP="00116ACC">
            <w:pPr>
              <w:rPr>
                <w:rFonts w:cs="Calibri"/>
                <w:sz w:val="20"/>
                <w:szCs w:val="20"/>
              </w:rPr>
            </w:pPr>
          </w:p>
          <w:p w:rsidR="00F669E4" w:rsidRPr="0081122E" w:rsidRDefault="00116ACC">
            <w:pPr>
              <w:rPr>
                <w:rFonts w:cs="Calibri"/>
                <w:sz w:val="20"/>
                <w:szCs w:val="20"/>
              </w:rPr>
            </w:pPr>
            <w:r>
              <w:rPr>
                <w:sz w:val="20"/>
              </w:rPr>
              <w:t xml:space="preserve">Les politiques et les consignes écrites de l’organisme de service prévoient le fait de fournir une formation et des services d’orientation à la famille hôte, y compris en ce qui concerne l’obtention d’un certificat initial de réanimation cardio-respiratoire (RCR) et de secourisme, la préservation de la confidentialité, la prévention et le signalement des mauvais traitements, le signalement d’incidents graves (selon les politiques et les consignes de l’organisme), le traitement des plaintes, </w:t>
            </w:r>
            <w:r w:rsidR="004F4C23">
              <w:rPr>
                <w:sz w:val="20"/>
              </w:rPr>
              <w:t>le respect des droits et la prestation des soins</w:t>
            </w:r>
            <w:r>
              <w:rPr>
                <w:sz w:val="20"/>
              </w:rPr>
              <w:t>, ou de s’assurer que la famille hôte a suivi une formation et des séances d’orientation équivalente.</w:t>
            </w:r>
          </w:p>
        </w:tc>
        <w:tc>
          <w:tcPr>
            <w:tcW w:w="2056" w:type="dxa"/>
            <w:tcBorders>
              <w:top w:val="single" w:sz="4" w:space="0" w:color="000000"/>
              <w:left w:val="single" w:sz="4" w:space="0" w:color="000000"/>
              <w:bottom w:val="single" w:sz="4" w:space="0" w:color="000000"/>
              <w:right w:val="single" w:sz="4" w:space="0" w:color="000000"/>
            </w:tcBorders>
          </w:tcPr>
          <w:p w:rsidR="00116ACC" w:rsidRDefault="00116ACC" w:rsidP="00ED09A5">
            <w:pPr>
              <w:rPr>
                <w:rFonts w:cs="Calibri"/>
                <w:sz w:val="20"/>
                <w:szCs w:val="20"/>
              </w:rPr>
            </w:pPr>
          </w:p>
          <w:p w:rsidR="00F669E4" w:rsidRPr="0081122E" w:rsidRDefault="00D8706A">
            <w:pPr>
              <w:rPr>
                <w:rFonts w:cs="Calibri"/>
                <w:sz w:val="20"/>
                <w:szCs w:val="20"/>
              </w:rPr>
            </w:pPr>
            <w:r>
              <w:rPr>
                <w:sz w:val="20"/>
              </w:rPr>
              <w:t xml:space="preserve">Les politiques et les consignes écrites de l’organisme de service ne prévoient pas le fait de fournir une formation et des services d’orientation à la famille hôte, y compris en ce qui concerne l’obtention d’un certificat initial de réanimation cardio-respiratoire (RCR) et de secourisme, la préservation de la confidentialité, la prévention et le signalement des mauvais traitements, le signalement d’incidents graves (selon les politiques et les consignes de l’organisme), le traitement des plaintes, </w:t>
            </w:r>
            <w:r w:rsidR="004F4C23">
              <w:rPr>
                <w:sz w:val="20"/>
              </w:rPr>
              <w:t>le respect des droits et la prestation des soins</w:t>
            </w:r>
            <w:r>
              <w:rPr>
                <w:sz w:val="20"/>
              </w:rPr>
              <w:t>, ou de s’assurer que la famille hôte a suivi une formation et des séances d’orientation équivalente.</w:t>
            </w:r>
          </w:p>
        </w:tc>
        <w:tc>
          <w:tcPr>
            <w:tcW w:w="2220" w:type="dxa"/>
            <w:tcBorders>
              <w:top w:val="single" w:sz="4" w:space="0" w:color="000000"/>
              <w:left w:val="single" w:sz="4" w:space="0" w:color="000000"/>
              <w:bottom w:val="single" w:sz="4" w:space="0" w:color="000000"/>
              <w:right w:val="single" w:sz="4" w:space="0" w:color="000000"/>
            </w:tcBorders>
          </w:tcPr>
          <w:p w:rsidR="00116ACC" w:rsidRDefault="00116ACC" w:rsidP="00ED09A5">
            <w:pPr>
              <w:rPr>
                <w:rFonts w:cs="Calibri"/>
                <w:sz w:val="20"/>
                <w:szCs w:val="20"/>
              </w:rPr>
            </w:pPr>
            <w:r>
              <w:rPr>
                <w:sz w:val="20"/>
              </w:rPr>
              <w:t xml:space="preserve"> </w:t>
            </w:r>
          </w:p>
          <w:p w:rsidR="00F669E4" w:rsidRDefault="00F669E4" w:rsidP="00ED09A5">
            <w:pPr>
              <w:rPr>
                <w:rFonts w:cs="Calibri"/>
                <w:sz w:val="20"/>
                <w:szCs w:val="20"/>
              </w:rPr>
            </w:pPr>
            <w:r>
              <w:rPr>
                <w:sz w:val="20"/>
              </w:rPr>
              <w:t>Politiques et consignes écrites finales/approuvées et datées.</w:t>
            </w:r>
          </w:p>
        </w:tc>
      </w:tr>
      <w:tr w:rsidR="00F669E4" w:rsidRPr="0081122E" w:rsidTr="00637B60">
        <w:trPr>
          <w:trHeight w:hRule="exact" w:val="787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350134" w:rsidRDefault="00350134" w:rsidP="00350134">
            <w:pPr>
              <w:pStyle w:val="TableParagraph"/>
              <w:spacing w:before="48"/>
              <w:ind w:left="35"/>
              <w:rPr>
                <w:rFonts w:cs="Calibri"/>
                <w:sz w:val="20"/>
                <w:szCs w:val="20"/>
              </w:rPr>
            </w:pPr>
          </w:p>
          <w:p w:rsidR="00F669E4" w:rsidRPr="00173EF0" w:rsidRDefault="00173EF0" w:rsidP="00173EF0">
            <w:pPr>
              <w:rPr>
                <w:sz w:val="20"/>
                <w:szCs w:val="20"/>
              </w:rPr>
            </w:pPr>
            <w:r>
              <w:rPr>
                <w:sz w:val="20"/>
              </w:rPr>
              <w:t>69</w:t>
            </w:r>
            <w:r w:rsidR="00B74868">
              <w:rPr>
                <w:sz w:val="20"/>
              </w:rPr>
              <w:t xml:space="preserve">. </w:t>
            </w:r>
            <w:r>
              <w:rPr>
                <w:sz w:val="20"/>
              </w:rPr>
              <w:t>Soutien et supervision; rencontre tous les 60 jours</w:t>
            </w:r>
          </w:p>
          <w:p w:rsidR="00173EF0" w:rsidRPr="0081122E" w:rsidRDefault="00173EF0" w:rsidP="00350134">
            <w:pPr>
              <w:pStyle w:val="TableParagraph"/>
              <w:spacing w:before="7" w:line="190" w:lineRule="exact"/>
              <w:rPr>
                <w:rFonts w:cs="Calibri"/>
                <w:sz w:val="20"/>
                <w:szCs w:val="20"/>
              </w:rPr>
            </w:pPr>
          </w:p>
          <w:p w:rsidR="006F5B54" w:rsidRDefault="00704F8A" w:rsidP="00350134">
            <w:pPr>
              <w:pStyle w:val="TableParagraph"/>
              <w:spacing w:line="200" w:lineRule="exact"/>
              <w:ind w:left="35" w:right="70"/>
              <w:rPr>
                <w:sz w:val="20"/>
                <w:szCs w:val="20"/>
              </w:rPr>
            </w:pPr>
            <w:r>
              <w:rPr>
                <w:sz w:val="20"/>
              </w:rPr>
              <w:t>Les organismes de service qui administrent le Programme de placement en famille hôte doivent établir des politiques et des consignes qui traitent du fait de rencontrer physiquement la personne placée, qui peut être accompagnée d’un pair, d’un ami ou d’un membre de sa famille, selon ce qui peut convenir ou ce que la personne peut demander, et ce, au moins tous les trimestres et sans que la famille hôte soit présente, afin de recueillir les commentaires de la personne et de régler ses éventuels problèmes de façon personnalisée et confidentielle</w:t>
            </w:r>
            <w:r w:rsidR="00B74868">
              <w:rPr>
                <w:sz w:val="20"/>
              </w:rPr>
              <w:t xml:space="preserve">. </w:t>
            </w:r>
          </w:p>
          <w:p w:rsidR="00704F8A" w:rsidRDefault="00704F8A" w:rsidP="00350134">
            <w:pPr>
              <w:pStyle w:val="TableParagraph"/>
              <w:spacing w:line="200" w:lineRule="exact"/>
              <w:ind w:left="35" w:right="70"/>
              <w:rPr>
                <w:rFonts w:cs="Calibri"/>
                <w:sz w:val="20"/>
                <w:szCs w:val="20"/>
              </w:rPr>
            </w:pPr>
          </w:p>
          <w:p w:rsidR="00F669E4" w:rsidRDefault="00173EF0" w:rsidP="00A331B4">
            <w:pPr>
              <w:pStyle w:val="TableParagraph"/>
              <w:spacing w:before="48"/>
              <w:rPr>
                <w:rFonts w:cs="Calibri"/>
                <w:sz w:val="20"/>
                <w:szCs w:val="20"/>
              </w:rPr>
            </w:pPr>
            <w:r>
              <w:rPr>
                <w:sz w:val="20"/>
              </w:rPr>
              <w:t>Directives en matière de politique s’appliquant aux organismes de service en ce qui a trait au Programme de placement en famille hôte 3.1</w:t>
            </w:r>
          </w:p>
          <w:p w:rsidR="00F669E4" w:rsidRDefault="00F669E4" w:rsidP="00A331B4">
            <w:pPr>
              <w:pStyle w:val="TableParagraph"/>
              <w:spacing w:before="48"/>
              <w:rPr>
                <w:rFonts w:cs="Calibri"/>
                <w:sz w:val="20"/>
                <w:szCs w:val="20"/>
              </w:rPr>
            </w:pPr>
          </w:p>
          <w:p w:rsidR="00F669E4" w:rsidRDefault="00F669E4" w:rsidP="00A331B4">
            <w:pPr>
              <w:pStyle w:val="TableParagraph"/>
              <w:spacing w:before="48"/>
              <w:rPr>
                <w:rFonts w:cs="Calibri"/>
                <w:sz w:val="20"/>
                <w:szCs w:val="20"/>
              </w:rPr>
            </w:pPr>
          </w:p>
          <w:p w:rsidR="00F669E4" w:rsidRDefault="00F669E4" w:rsidP="00A331B4">
            <w:pPr>
              <w:pStyle w:val="TableParagraph"/>
              <w:spacing w:before="48"/>
              <w:rPr>
                <w:rFonts w:cs="Calibri"/>
                <w:sz w:val="20"/>
                <w:szCs w:val="20"/>
              </w:rPr>
            </w:pPr>
          </w:p>
          <w:p w:rsidR="00F669E4" w:rsidRDefault="00F669E4" w:rsidP="00A331B4">
            <w:pPr>
              <w:pStyle w:val="TableParagraph"/>
              <w:spacing w:before="48"/>
              <w:rPr>
                <w:rFonts w:cs="Calibri"/>
                <w:sz w:val="20"/>
                <w:szCs w:val="20"/>
              </w:rPr>
            </w:pPr>
          </w:p>
          <w:p w:rsidR="00F669E4" w:rsidRDefault="00F669E4" w:rsidP="00A331B4">
            <w:pPr>
              <w:pStyle w:val="TableParagraph"/>
              <w:spacing w:before="48"/>
              <w:rPr>
                <w:rFonts w:cs="Calibri"/>
                <w:sz w:val="20"/>
                <w:szCs w:val="20"/>
              </w:rPr>
            </w:pPr>
          </w:p>
          <w:p w:rsidR="00F669E4" w:rsidRDefault="00F669E4" w:rsidP="00A331B4">
            <w:pPr>
              <w:pStyle w:val="TableParagraph"/>
              <w:spacing w:before="48"/>
              <w:rPr>
                <w:rFonts w:cs="Calibri"/>
                <w:sz w:val="20"/>
                <w:szCs w:val="20"/>
              </w:rPr>
            </w:pPr>
          </w:p>
          <w:p w:rsidR="00F669E4" w:rsidRPr="0081122E" w:rsidRDefault="00F669E4" w:rsidP="00A331B4">
            <w:pPr>
              <w:pStyle w:val="TableParagraph"/>
              <w:spacing w:before="48"/>
              <w:rPr>
                <w:rFonts w:cs="Calibri"/>
                <w:sz w:val="20"/>
                <w:szCs w:val="20"/>
              </w:rPr>
            </w:pPr>
          </w:p>
        </w:tc>
        <w:tc>
          <w:tcPr>
            <w:tcW w:w="3462" w:type="dxa"/>
            <w:tcBorders>
              <w:top w:val="single" w:sz="4" w:space="0" w:color="000000"/>
              <w:left w:val="single" w:sz="4" w:space="0" w:color="auto"/>
              <w:bottom w:val="single" w:sz="4" w:space="0" w:color="000000"/>
              <w:right w:val="single" w:sz="4" w:space="0" w:color="auto"/>
            </w:tcBorders>
          </w:tcPr>
          <w:p w:rsidR="00173EF0" w:rsidRDefault="00173EF0" w:rsidP="00620357">
            <w:pPr>
              <w:rPr>
                <w:rFonts w:cs="Calibri"/>
                <w:sz w:val="20"/>
                <w:szCs w:val="20"/>
              </w:rPr>
            </w:pPr>
          </w:p>
          <w:p w:rsidR="00B575CB" w:rsidRDefault="00B575CB" w:rsidP="00D35955">
            <w:pPr>
              <w:rPr>
                <w:rFonts w:asciiTheme="minorHAnsi" w:hAnsiTheme="minorHAnsi" w:cstheme="minorHAnsi"/>
                <w:sz w:val="20"/>
                <w:szCs w:val="20"/>
              </w:rPr>
            </w:pPr>
            <w:r>
              <w:rPr>
                <w:rFonts w:asciiTheme="minorHAnsi" w:hAnsiTheme="minorHAnsi" w:cstheme="minorHAnsi"/>
                <w:sz w:val="20"/>
              </w:rPr>
              <w:t>Les activités de soutien et de supervision continues réalisées par l’organisme auprès des personnes placées et des familles hôtes contribuent à établir et à entretenir des relations durables</w:t>
            </w:r>
            <w:r w:rsidR="00B74868">
              <w:rPr>
                <w:rFonts w:asciiTheme="minorHAnsi" w:hAnsiTheme="minorHAnsi" w:cstheme="minorHAnsi"/>
                <w:sz w:val="20"/>
              </w:rPr>
              <w:t xml:space="preserve">. </w:t>
            </w:r>
            <w:r>
              <w:rPr>
                <w:rFonts w:asciiTheme="minorHAnsi" w:hAnsiTheme="minorHAnsi" w:cstheme="minorHAnsi"/>
                <w:sz w:val="20"/>
              </w:rPr>
              <w:t>Elles permettent également de promouvoir et de garantir le bien-être de toutes les personnes participant au placement en famille hôte.</w:t>
            </w:r>
          </w:p>
          <w:p w:rsidR="00B575CB" w:rsidRDefault="00B575CB" w:rsidP="00D35955">
            <w:pPr>
              <w:rPr>
                <w:rFonts w:asciiTheme="minorHAnsi" w:hAnsiTheme="minorHAnsi" w:cstheme="minorHAnsi"/>
                <w:sz w:val="20"/>
                <w:szCs w:val="20"/>
              </w:rPr>
            </w:pPr>
          </w:p>
          <w:p w:rsidR="00F669E4" w:rsidRPr="00D35955" w:rsidRDefault="00F669E4" w:rsidP="00637B60"/>
        </w:tc>
        <w:tc>
          <w:tcPr>
            <w:tcW w:w="1080" w:type="dxa"/>
            <w:tcBorders>
              <w:top w:val="single" w:sz="4" w:space="0" w:color="000000"/>
              <w:left w:val="single" w:sz="4" w:space="0" w:color="auto"/>
              <w:bottom w:val="single" w:sz="4" w:space="0" w:color="000000"/>
              <w:right w:val="single" w:sz="4" w:space="0" w:color="000000"/>
            </w:tcBorders>
          </w:tcPr>
          <w:p w:rsidR="00173EF0" w:rsidRDefault="00173EF0" w:rsidP="000C524B">
            <w:pPr>
              <w:rPr>
                <w:rFonts w:cs="Calibri"/>
                <w:sz w:val="20"/>
                <w:szCs w:val="20"/>
              </w:rPr>
            </w:pPr>
            <w:r>
              <w:rPr>
                <w:sz w:val="20"/>
              </w:rPr>
              <w:t xml:space="preserve"> </w:t>
            </w:r>
          </w:p>
          <w:p w:rsidR="00F669E4" w:rsidRPr="0081122E" w:rsidRDefault="00B14788" w:rsidP="00173EF0">
            <w:pPr>
              <w:jc w:val="center"/>
              <w:rPr>
                <w:rFonts w:cs="Calibri"/>
                <w:sz w:val="20"/>
                <w:szCs w:val="20"/>
              </w:rPr>
            </w:pPr>
            <w:r>
              <w:rPr>
                <w:sz w:val="20"/>
              </w:rPr>
              <w:t>FAIBLE</w:t>
            </w:r>
          </w:p>
        </w:tc>
        <w:tc>
          <w:tcPr>
            <w:tcW w:w="2610" w:type="dxa"/>
            <w:tcBorders>
              <w:top w:val="single" w:sz="4" w:space="0" w:color="000000"/>
              <w:left w:val="single" w:sz="4" w:space="0" w:color="000000"/>
              <w:bottom w:val="single" w:sz="4" w:space="0" w:color="000000"/>
              <w:right w:val="single" w:sz="4" w:space="0" w:color="000000"/>
            </w:tcBorders>
          </w:tcPr>
          <w:p w:rsidR="00173EF0" w:rsidRDefault="00173EF0" w:rsidP="00F863EC">
            <w:pPr>
              <w:rPr>
                <w:rFonts w:cs="Calibri"/>
                <w:sz w:val="20"/>
                <w:szCs w:val="20"/>
              </w:rPr>
            </w:pPr>
          </w:p>
          <w:p w:rsidR="00F669E4" w:rsidRDefault="00D8706A">
            <w:pPr>
              <w:rPr>
                <w:rFonts w:cs="Calibri"/>
                <w:sz w:val="20"/>
                <w:szCs w:val="20"/>
              </w:rPr>
            </w:pPr>
            <w:r>
              <w:rPr>
                <w:sz w:val="20"/>
              </w:rPr>
              <w:t>Les politiques et les consignes écrites de l’organisme de service prévoient le fait de rencontrer physiquement la personne placée, qui peut être accompagnée d’un pair, d’un ami ou d’un membre de sa famille, selon ce qui peut convenir ou ce que la personne peut demander, et ce, au moins tous les trimestres et sans que la famille hôte soit présente, afin de recueillir les commentaires de la personne et de régler ses éventuels problèmes de façon personnalisée et confidentielle</w:t>
            </w:r>
            <w:r w:rsidR="00B74868">
              <w:rPr>
                <w:sz w:val="20"/>
              </w:rPr>
              <w:t>.</w:t>
            </w:r>
            <w:r>
              <w:rPr>
                <w:sz w:val="20"/>
              </w:rPr>
              <w:t xml:space="preserve"> </w:t>
            </w:r>
          </w:p>
          <w:p w:rsidR="00DA605B" w:rsidRDefault="00DA605B">
            <w:pPr>
              <w:rPr>
                <w:rFonts w:cs="Calibri"/>
                <w:sz w:val="20"/>
                <w:szCs w:val="20"/>
              </w:rPr>
            </w:pPr>
          </w:p>
          <w:p w:rsidR="00DA605B" w:rsidRPr="0081122E" w:rsidRDefault="00DA605B" w:rsidP="00A50795">
            <w:pPr>
              <w:rPr>
                <w:rFonts w:cs="Calibri"/>
                <w:sz w:val="20"/>
                <w:szCs w:val="20"/>
              </w:rPr>
            </w:pPr>
            <w:r>
              <w:rPr>
                <w:sz w:val="20"/>
              </w:rPr>
              <w:t>Les politiques et les consignes peuvent préciser comment l’organisme documente les résultats des rencontres avec la personne placée (p. ex. comptes rendus des rencontres, dossiers trimestriels et/ou relevés de communication).</w:t>
            </w:r>
          </w:p>
        </w:tc>
        <w:tc>
          <w:tcPr>
            <w:tcW w:w="2056" w:type="dxa"/>
            <w:tcBorders>
              <w:top w:val="single" w:sz="4" w:space="0" w:color="000000"/>
              <w:left w:val="single" w:sz="4" w:space="0" w:color="000000"/>
              <w:bottom w:val="single" w:sz="4" w:space="0" w:color="000000"/>
              <w:right w:val="single" w:sz="4" w:space="0" w:color="000000"/>
            </w:tcBorders>
          </w:tcPr>
          <w:p w:rsidR="00F669E4" w:rsidRDefault="00F669E4" w:rsidP="00374870">
            <w:pPr>
              <w:rPr>
                <w:rFonts w:cs="Calibri"/>
                <w:sz w:val="20"/>
                <w:szCs w:val="20"/>
              </w:rPr>
            </w:pPr>
          </w:p>
          <w:p w:rsidR="00173EF0" w:rsidRPr="0081122E" w:rsidRDefault="00704F8A" w:rsidP="00374870">
            <w:pPr>
              <w:rPr>
                <w:rFonts w:cs="Calibri"/>
                <w:sz w:val="20"/>
                <w:szCs w:val="20"/>
              </w:rPr>
            </w:pPr>
            <w:r>
              <w:rPr>
                <w:sz w:val="20"/>
              </w:rPr>
              <w:t>Les politiques et les consignes relatives au soutien et à la supervision des familles hôtes ne prévoient pas le fait de rencontrer physiquement la personne placée, qui peut être accompagnée d’un pair, d’un ami ou d’un membre de sa famille, selon ce qui peut convenir ou ce que la personne peut demander, et ce, au moins tous les trimestres et sans que la famille hôte soit présente, afin de recueillir les commentaires de la personne et de régler ses éventuels problèmes de façon personnalisée et confidentielle.</w:t>
            </w:r>
          </w:p>
        </w:tc>
        <w:tc>
          <w:tcPr>
            <w:tcW w:w="2220" w:type="dxa"/>
            <w:tcBorders>
              <w:top w:val="single" w:sz="4" w:space="0" w:color="000000"/>
              <w:left w:val="single" w:sz="4" w:space="0" w:color="000000"/>
              <w:bottom w:val="single" w:sz="4" w:space="0" w:color="000000"/>
              <w:right w:val="single" w:sz="4" w:space="0" w:color="000000"/>
            </w:tcBorders>
          </w:tcPr>
          <w:p w:rsidR="00173EF0" w:rsidRDefault="00173EF0" w:rsidP="00374870">
            <w:pPr>
              <w:rPr>
                <w:rFonts w:cs="Calibri"/>
                <w:sz w:val="20"/>
                <w:szCs w:val="20"/>
              </w:rPr>
            </w:pPr>
          </w:p>
          <w:p w:rsidR="00F669E4" w:rsidRDefault="00F669E4" w:rsidP="00374870">
            <w:pPr>
              <w:rPr>
                <w:rFonts w:cs="Calibri"/>
                <w:sz w:val="20"/>
                <w:szCs w:val="20"/>
              </w:rPr>
            </w:pPr>
            <w:r>
              <w:rPr>
                <w:sz w:val="20"/>
              </w:rPr>
              <w:t>Politiques et consignes écrites finales/approuvées et datées.</w:t>
            </w:r>
          </w:p>
        </w:tc>
      </w:tr>
      <w:tr w:rsidR="00F669E4" w:rsidRPr="0081122E" w:rsidTr="00637B60">
        <w:trPr>
          <w:trHeight w:hRule="exact" w:val="787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B41E61" w:rsidRDefault="00B41E61" w:rsidP="00B41E61">
            <w:pPr>
              <w:rPr>
                <w:sz w:val="20"/>
                <w:szCs w:val="20"/>
              </w:rPr>
            </w:pPr>
          </w:p>
          <w:p w:rsidR="00F669E4" w:rsidRPr="00B41E61" w:rsidRDefault="00B41E61" w:rsidP="00B41E61">
            <w:pPr>
              <w:rPr>
                <w:sz w:val="20"/>
                <w:szCs w:val="20"/>
              </w:rPr>
            </w:pPr>
            <w:r>
              <w:rPr>
                <w:sz w:val="20"/>
              </w:rPr>
              <w:t>70</w:t>
            </w:r>
            <w:r w:rsidR="00B74868">
              <w:rPr>
                <w:sz w:val="20"/>
              </w:rPr>
              <w:t xml:space="preserve">. </w:t>
            </w:r>
            <w:r>
              <w:rPr>
                <w:sz w:val="20"/>
              </w:rPr>
              <w:t>Soutien et supervision; soutien continu</w:t>
            </w:r>
          </w:p>
          <w:p w:rsidR="00B41E61" w:rsidRPr="0081122E" w:rsidRDefault="00B41E61" w:rsidP="00A331B4">
            <w:pPr>
              <w:pStyle w:val="TableParagraph"/>
              <w:spacing w:before="7" w:line="190" w:lineRule="exact"/>
              <w:rPr>
                <w:rFonts w:cs="Calibri"/>
                <w:sz w:val="20"/>
                <w:szCs w:val="20"/>
              </w:rPr>
            </w:pPr>
          </w:p>
          <w:p w:rsidR="00B41E61" w:rsidRDefault="00704F8A" w:rsidP="00A331B4">
            <w:pPr>
              <w:pStyle w:val="TableParagraph"/>
              <w:spacing w:line="200" w:lineRule="exact"/>
              <w:ind w:left="35" w:right="80"/>
              <w:rPr>
                <w:rFonts w:cs="Calibri"/>
                <w:sz w:val="20"/>
                <w:szCs w:val="20"/>
              </w:rPr>
            </w:pPr>
            <w:r>
              <w:rPr>
                <w:sz w:val="20"/>
              </w:rPr>
              <w:t xml:space="preserve">Les organismes de service qui administrent le Programme de placement en famille hôte doivent établir des politiques et des consignes qui </w:t>
            </w:r>
            <w:r w:rsidR="0009697E">
              <w:rPr>
                <w:sz w:val="20"/>
              </w:rPr>
              <w:t xml:space="preserve">traitent du fait </w:t>
            </w:r>
            <w:r>
              <w:rPr>
                <w:sz w:val="20"/>
              </w:rPr>
              <w:t xml:space="preserve">de fournir un soutien continu à la famille hôte </w:t>
            </w:r>
            <w:r w:rsidR="0009697E">
              <w:rPr>
                <w:sz w:val="20"/>
              </w:rPr>
              <w:t>suivant les besoins</w:t>
            </w:r>
            <w:r>
              <w:rPr>
                <w:sz w:val="20"/>
              </w:rPr>
              <w:t xml:space="preserve"> (p. ex. soutien à la transition, renseignements sur la collectivité, coordonnées d’autres familles hôtes qui pourront fournir des conseils et du soutien). </w:t>
            </w:r>
          </w:p>
          <w:p w:rsidR="00704F8A" w:rsidRPr="0081122E" w:rsidRDefault="00704F8A" w:rsidP="00A331B4">
            <w:pPr>
              <w:pStyle w:val="TableParagraph"/>
              <w:spacing w:line="200" w:lineRule="exact"/>
              <w:ind w:left="35" w:right="80"/>
              <w:rPr>
                <w:rFonts w:cs="Calibri"/>
                <w:sz w:val="20"/>
                <w:szCs w:val="20"/>
              </w:rPr>
            </w:pPr>
          </w:p>
          <w:p w:rsidR="00F669E4" w:rsidRPr="00B41E61" w:rsidRDefault="00B41E61" w:rsidP="00B41E61">
            <w:pPr>
              <w:rPr>
                <w:sz w:val="20"/>
                <w:szCs w:val="20"/>
              </w:rPr>
            </w:pPr>
            <w:r>
              <w:rPr>
                <w:sz w:val="20"/>
              </w:rPr>
              <w:t>Directives en matière de politique s’appliquant aux organismes de service en ce qui a trait au Programme de placement en famille hôte 3.1</w:t>
            </w:r>
          </w:p>
        </w:tc>
        <w:tc>
          <w:tcPr>
            <w:tcW w:w="3462" w:type="dxa"/>
            <w:tcBorders>
              <w:top w:val="single" w:sz="4" w:space="0" w:color="000000"/>
              <w:left w:val="single" w:sz="4" w:space="0" w:color="auto"/>
              <w:bottom w:val="single" w:sz="4" w:space="0" w:color="000000"/>
              <w:right w:val="single" w:sz="4" w:space="0" w:color="auto"/>
            </w:tcBorders>
          </w:tcPr>
          <w:p w:rsidR="00F669E4" w:rsidRDefault="00F669E4" w:rsidP="00EE04C0">
            <w:pPr>
              <w:rPr>
                <w:rFonts w:cs="Calibri"/>
                <w:sz w:val="20"/>
                <w:szCs w:val="20"/>
              </w:rPr>
            </w:pPr>
          </w:p>
          <w:p w:rsidR="00B575CB" w:rsidRDefault="00B575CB" w:rsidP="00EE04C0">
            <w:pPr>
              <w:rPr>
                <w:rFonts w:cs="Calibri"/>
                <w:sz w:val="20"/>
                <w:szCs w:val="20"/>
              </w:rPr>
            </w:pPr>
            <w:r>
              <w:rPr>
                <w:rFonts w:asciiTheme="minorHAnsi" w:hAnsiTheme="minorHAnsi" w:cstheme="minorHAnsi"/>
                <w:sz w:val="20"/>
              </w:rPr>
              <w:t>Les activités de soutien et de supervision continues réalisées par l’organisme auprès des personnes placées et des familles hôtes contribuent à établir et à entretenir des relations durables</w:t>
            </w:r>
            <w:r w:rsidR="00B74868">
              <w:rPr>
                <w:rFonts w:asciiTheme="minorHAnsi" w:hAnsiTheme="minorHAnsi" w:cstheme="minorHAnsi"/>
                <w:sz w:val="20"/>
              </w:rPr>
              <w:t xml:space="preserve">. </w:t>
            </w:r>
            <w:r>
              <w:rPr>
                <w:rFonts w:asciiTheme="minorHAnsi" w:hAnsiTheme="minorHAnsi" w:cstheme="minorHAnsi"/>
                <w:sz w:val="20"/>
              </w:rPr>
              <w:t>Elles permettent également de promouvoir et de garantir le bien-être de toutes les personnes participant au placement en famille hôte.</w:t>
            </w:r>
          </w:p>
          <w:p w:rsidR="00B575CB" w:rsidRDefault="00B575CB" w:rsidP="00EE04C0">
            <w:pPr>
              <w:rPr>
                <w:rFonts w:cs="Calibri"/>
                <w:sz w:val="20"/>
                <w:szCs w:val="20"/>
              </w:rPr>
            </w:pPr>
          </w:p>
          <w:p w:rsidR="00D35955" w:rsidRPr="00D35955" w:rsidRDefault="00D35955" w:rsidP="00637B60">
            <w:pPr>
              <w:pStyle w:val="ListParagraph"/>
              <w:ind w:left="360"/>
              <w:rPr>
                <w:rFonts w:cs="Calibri"/>
                <w:sz w:val="20"/>
                <w:szCs w:val="20"/>
              </w:rPr>
            </w:pPr>
          </w:p>
        </w:tc>
        <w:tc>
          <w:tcPr>
            <w:tcW w:w="1080" w:type="dxa"/>
            <w:tcBorders>
              <w:top w:val="single" w:sz="4" w:space="0" w:color="000000"/>
              <w:left w:val="single" w:sz="4" w:space="0" w:color="auto"/>
              <w:bottom w:val="single" w:sz="4" w:space="0" w:color="000000"/>
              <w:right w:val="single" w:sz="4" w:space="0" w:color="000000"/>
            </w:tcBorders>
          </w:tcPr>
          <w:p w:rsidR="00B41E61" w:rsidRDefault="00B41E61" w:rsidP="000C524B">
            <w:pPr>
              <w:rPr>
                <w:rFonts w:cs="Calibri"/>
                <w:sz w:val="20"/>
                <w:szCs w:val="20"/>
              </w:rPr>
            </w:pPr>
          </w:p>
          <w:p w:rsidR="00F669E4" w:rsidRPr="0081122E" w:rsidRDefault="00B14788" w:rsidP="00B41E61">
            <w:pPr>
              <w:jc w:val="center"/>
              <w:rPr>
                <w:rFonts w:cs="Calibri"/>
                <w:sz w:val="20"/>
                <w:szCs w:val="20"/>
              </w:rPr>
            </w:pPr>
            <w:r>
              <w:rPr>
                <w:sz w:val="20"/>
              </w:rPr>
              <w:t>FAIBLE</w:t>
            </w:r>
          </w:p>
        </w:tc>
        <w:tc>
          <w:tcPr>
            <w:tcW w:w="2610" w:type="dxa"/>
            <w:tcBorders>
              <w:top w:val="single" w:sz="4" w:space="0" w:color="000000"/>
              <w:left w:val="single" w:sz="4" w:space="0" w:color="000000"/>
              <w:bottom w:val="single" w:sz="4" w:space="0" w:color="000000"/>
              <w:right w:val="single" w:sz="4" w:space="0" w:color="000000"/>
            </w:tcBorders>
          </w:tcPr>
          <w:p w:rsidR="00B41E61" w:rsidRDefault="00B41E61" w:rsidP="00F863EC">
            <w:pPr>
              <w:rPr>
                <w:rFonts w:cs="Calibri"/>
                <w:sz w:val="20"/>
                <w:szCs w:val="20"/>
              </w:rPr>
            </w:pPr>
          </w:p>
          <w:p w:rsidR="00F669E4" w:rsidRDefault="00B41E61" w:rsidP="00F863EC">
            <w:pPr>
              <w:rPr>
                <w:rFonts w:cs="Calibri"/>
                <w:sz w:val="20"/>
                <w:szCs w:val="20"/>
              </w:rPr>
            </w:pPr>
            <w:r>
              <w:rPr>
                <w:sz w:val="20"/>
              </w:rPr>
              <w:t>Les politiques et les consignes écrites de l’organisme de service prévoient le fait de fournir un soutien continu à la famille hôte suivant les besoins (p. ex. soutien à la transition, renseignements sur la collectivité, coordonnées d’autres familles hôtes qui pourront fournir des conseils et du soutien).</w:t>
            </w:r>
          </w:p>
          <w:p w:rsidR="00DA605B" w:rsidRDefault="00DA605B" w:rsidP="00F863EC">
            <w:pPr>
              <w:rPr>
                <w:rFonts w:cs="Calibri"/>
                <w:sz w:val="20"/>
                <w:szCs w:val="20"/>
              </w:rPr>
            </w:pPr>
          </w:p>
          <w:p w:rsidR="00DA605B" w:rsidRPr="0081122E" w:rsidRDefault="00DA605B" w:rsidP="00A50795">
            <w:pPr>
              <w:rPr>
                <w:rFonts w:cs="Calibri"/>
                <w:sz w:val="20"/>
                <w:szCs w:val="20"/>
              </w:rPr>
            </w:pPr>
            <w:r>
              <w:rPr>
                <w:sz w:val="20"/>
              </w:rPr>
              <w:t>Les politiques et les consignes peuvent préciser comment l’organis</w:t>
            </w:r>
            <w:r w:rsidR="00B74868">
              <w:rPr>
                <w:sz w:val="20"/>
              </w:rPr>
              <w:t>me documente le soutien continu</w:t>
            </w:r>
            <w:r>
              <w:rPr>
                <w:sz w:val="20"/>
              </w:rPr>
              <w:t xml:space="preserve"> apporté à la famille hôte (p. ex. comptes rendus des rencontres, communications par courriel).</w:t>
            </w:r>
          </w:p>
        </w:tc>
        <w:tc>
          <w:tcPr>
            <w:tcW w:w="2056" w:type="dxa"/>
            <w:tcBorders>
              <w:top w:val="single" w:sz="4" w:space="0" w:color="000000"/>
              <w:left w:val="single" w:sz="4" w:space="0" w:color="000000"/>
              <w:bottom w:val="single" w:sz="4" w:space="0" w:color="000000"/>
              <w:right w:val="single" w:sz="4" w:space="0" w:color="000000"/>
            </w:tcBorders>
          </w:tcPr>
          <w:p w:rsidR="00B41E61" w:rsidRDefault="00B41E61" w:rsidP="00A331B4">
            <w:pPr>
              <w:rPr>
                <w:rFonts w:cs="Calibri"/>
                <w:sz w:val="20"/>
                <w:szCs w:val="20"/>
              </w:rPr>
            </w:pPr>
          </w:p>
          <w:p w:rsidR="00F669E4" w:rsidRPr="0081122E" w:rsidRDefault="00704F8A" w:rsidP="00A331B4">
            <w:pPr>
              <w:rPr>
                <w:rFonts w:cs="Calibri"/>
                <w:sz w:val="20"/>
                <w:szCs w:val="20"/>
              </w:rPr>
            </w:pPr>
            <w:r>
              <w:rPr>
                <w:sz w:val="20"/>
              </w:rPr>
              <w:t>Les politiques et les consignes relatives au soutien et à la supervision des familles hôtes ne prévoient pas le fait de fournir un soutien continu à la famille hôte suivant les besoins.</w:t>
            </w:r>
          </w:p>
        </w:tc>
        <w:tc>
          <w:tcPr>
            <w:tcW w:w="2220" w:type="dxa"/>
            <w:tcBorders>
              <w:top w:val="single" w:sz="4" w:space="0" w:color="000000"/>
              <w:left w:val="single" w:sz="4" w:space="0" w:color="000000"/>
              <w:bottom w:val="single" w:sz="4" w:space="0" w:color="000000"/>
              <w:right w:val="single" w:sz="4" w:space="0" w:color="000000"/>
            </w:tcBorders>
          </w:tcPr>
          <w:p w:rsidR="00B41E61" w:rsidRDefault="00B41E61" w:rsidP="00A331B4">
            <w:pPr>
              <w:rPr>
                <w:rFonts w:cs="Calibri"/>
                <w:sz w:val="20"/>
                <w:szCs w:val="20"/>
              </w:rPr>
            </w:pPr>
          </w:p>
          <w:p w:rsidR="00F669E4" w:rsidRDefault="00F669E4" w:rsidP="00A331B4">
            <w:pPr>
              <w:rPr>
                <w:rFonts w:cs="Calibri"/>
                <w:sz w:val="20"/>
                <w:szCs w:val="20"/>
              </w:rPr>
            </w:pPr>
            <w:r>
              <w:rPr>
                <w:sz w:val="20"/>
              </w:rPr>
              <w:t>Politiques et consignes écrites finales/approuvées et datées.</w:t>
            </w:r>
          </w:p>
        </w:tc>
      </w:tr>
      <w:tr w:rsidR="00F669E4" w:rsidRPr="0081122E" w:rsidTr="00637B60">
        <w:trPr>
          <w:trHeight w:hRule="exact" w:val="787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B41E61" w:rsidRDefault="00B41E61" w:rsidP="00B41E61">
            <w:pPr>
              <w:rPr>
                <w:sz w:val="20"/>
                <w:szCs w:val="20"/>
              </w:rPr>
            </w:pPr>
          </w:p>
          <w:p w:rsidR="00F669E4" w:rsidRPr="00B41E61" w:rsidRDefault="00B41E61" w:rsidP="00B41E61">
            <w:pPr>
              <w:rPr>
                <w:sz w:val="20"/>
                <w:szCs w:val="20"/>
              </w:rPr>
            </w:pPr>
            <w:r>
              <w:rPr>
                <w:sz w:val="20"/>
              </w:rPr>
              <w:t>71</w:t>
            </w:r>
            <w:r w:rsidR="00B74868">
              <w:rPr>
                <w:sz w:val="20"/>
              </w:rPr>
              <w:t xml:space="preserve">. </w:t>
            </w:r>
            <w:r>
              <w:rPr>
                <w:sz w:val="20"/>
              </w:rPr>
              <w:t>Soutien et supervision; services de relève</w:t>
            </w:r>
          </w:p>
          <w:p w:rsidR="00B41E61" w:rsidRPr="00B41E61" w:rsidRDefault="00B41E61" w:rsidP="00B41E61">
            <w:pPr>
              <w:rPr>
                <w:sz w:val="20"/>
                <w:szCs w:val="20"/>
              </w:rPr>
            </w:pPr>
          </w:p>
          <w:p w:rsidR="00B41E61" w:rsidRDefault="00704F8A" w:rsidP="00B41E61">
            <w:pPr>
              <w:rPr>
                <w:sz w:val="20"/>
                <w:szCs w:val="20"/>
              </w:rPr>
            </w:pPr>
            <w:r>
              <w:rPr>
                <w:sz w:val="20"/>
              </w:rPr>
              <w:t xml:space="preserve">Les organismes de service qui administrent le Programme de placement en famille hôte doivent établir des politiques et des consignes qui traitent du fait de soutenir les services </w:t>
            </w:r>
            <w:r w:rsidR="0009697E">
              <w:rPr>
                <w:sz w:val="20"/>
              </w:rPr>
              <w:t xml:space="preserve">et soutiens </w:t>
            </w:r>
            <w:r>
              <w:rPr>
                <w:sz w:val="20"/>
              </w:rPr>
              <w:t>de relève pour fournisseurs de soins en tenant compte des conditions de la convention de service conclue avec l’organisme qui visent</w:t>
            </w:r>
            <w:r w:rsidR="0009697E">
              <w:rPr>
                <w:sz w:val="20"/>
              </w:rPr>
              <w:t>,</w:t>
            </w:r>
            <w:r>
              <w:rPr>
                <w:sz w:val="20"/>
              </w:rPr>
              <w:t xml:space="preserve"> par exemple</w:t>
            </w:r>
            <w:r w:rsidR="0009697E">
              <w:rPr>
                <w:sz w:val="20"/>
              </w:rPr>
              <w:t>,</w:t>
            </w:r>
            <w:r>
              <w:rPr>
                <w:sz w:val="20"/>
              </w:rPr>
              <w:t xml:space="preserve"> les services de relève planifiés et d’urgence, le cas échéant.</w:t>
            </w:r>
          </w:p>
          <w:p w:rsidR="00704F8A" w:rsidRPr="00B41E61" w:rsidRDefault="00704F8A" w:rsidP="00B41E61">
            <w:pPr>
              <w:rPr>
                <w:sz w:val="20"/>
                <w:szCs w:val="20"/>
              </w:rPr>
            </w:pPr>
          </w:p>
          <w:p w:rsidR="00F669E4" w:rsidRPr="0081122E" w:rsidRDefault="00B41E61" w:rsidP="00B41E61">
            <w:r>
              <w:rPr>
                <w:sz w:val="20"/>
              </w:rPr>
              <w:t>Directives en matière de politique s’appliquant aux organismes de service en ce qui a trait au Programme de placement en famille hôte 3.1</w:t>
            </w:r>
          </w:p>
        </w:tc>
        <w:tc>
          <w:tcPr>
            <w:tcW w:w="3462" w:type="dxa"/>
            <w:tcBorders>
              <w:top w:val="single" w:sz="4" w:space="0" w:color="000000"/>
              <w:left w:val="single" w:sz="4" w:space="0" w:color="auto"/>
              <w:bottom w:val="single" w:sz="4" w:space="0" w:color="000000"/>
              <w:right w:val="single" w:sz="4" w:space="0" w:color="auto"/>
            </w:tcBorders>
          </w:tcPr>
          <w:p w:rsidR="00F669E4" w:rsidRDefault="00F669E4" w:rsidP="00620357">
            <w:pPr>
              <w:rPr>
                <w:rFonts w:cs="Calibri"/>
                <w:sz w:val="20"/>
                <w:szCs w:val="20"/>
              </w:rPr>
            </w:pPr>
          </w:p>
          <w:p w:rsidR="00B575CB" w:rsidRDefault="00B575CB" w:rsidP="00620357">
            <w:pPr>
              <w:rPr>
                <w:rFonts w:cs="Calibri"/>
                <w:sz w:val="20"/>
                <w:szCs w:val="20"/>
              </w:rPr>
            </w:pPr>
            <w:r>
              <w:rPr>
                <w:rFonts w:asciiTheme="minorHAnsi" w:hAnsiTheme="minorHAnsi" w:cstheme="minorHAnsi"/>
                <w:sz w:val="20"/>
              </w:rPr>
              <w:t>Les activités de soutien et de supervision continues réalisées par l’organisme auprès des personnes placées et des familles hôtes contribuent à établir et à entretenir des relations durables</w:t>
            </w:r>
            <w:r w:rsidR="00B74868">
              <w:rPr>
                <w:rFonts w:asciiTheme="minorHAnsi" w:hAnsiTheme="minorHAnsi" w:cstheme="minorHAnsi"/>
                <w:sz w:val="20"/>
              </w:rPr>
              <w:t xml:space="preserve">. </w:t>
            </w:r>
            <w:r>
              <w:rPr>
                <w:rFonts w:asciiTheme="minorHAnsi" w:hAnsiTheme="minorHAnsi" w:cstheme="minorHAnsi"/>
                <w:sz w:val="20"/>
              </w:rPr>
              <w:t>Elles permettent également de promouvoir et de garantir le bien-être de toutes les personnes participant au placement en famille hôte.</w:t>
            </w:r>
          </w:p>
          <w:p w:rsidR="00B575CB" w:rsidRDefault="00B575CB" w:rsidP="00620357">
            <w:pPr>
              <w:rPr>
                <w:rFonts w:cs="Calibri"/>
                <w:sz w:val="20"/>
                <w:szCs w:val="20"/>
              </w:rPr>
            </w:pPr>
          </w:p>
          <w:p w:rsidR="00BC4D32" w:rsidRPr="00BC4D32" w:rsidRDefault="00BC4D32" w:rsidP="00637B60"/>
        </w:tc>
        <w:tc>
          <w:tcPr>
            <w:tcW w:w="1080" w:type="dxa"/>
            <w:tcBorders>
              <w:top w:val="single" w:sz="4" w:space="0" w:color="000000"/>
              <w:left w:val="single" w:sz="4" w:space="0" w:color="auto"/>
              <w:bottom w:val="single" w:sz="4" w:space="0" w:color="000000"/>
              <w:right w:val="single" w:sz="4" w:space="0" w:color="000000"/>
            </w:tcBorders>
          </w:tcPr>
          <w:p w:rsidR="006841FE" w:rsidRDefault="006841FE" w:rsidP="000C524B">
            <w:pPr>
              <w:rPr>
                <w:rFonts w:cs="Calibri"/>
                <w:sz w:val="20"/>
                <w:szCs w:val="20"/>
              </w:rPr>
            </w:pPr>
            <w:r>
              <w:rPr>
                <w:sz w:val="20"/>
              </w:rPr>
              <w:t xml:space="preserve"> </w:t>
            </w:r>
          </w:p>
          <w:p w:rsidR="00F669E4" w:rsidRPr="0081122E" w:rsidRDefault="00B14788" w:rsidP="006841FE">
            <w:pPr>
              <w:jc w:val="center"/>
              <w:rPr>
                <w:rFonts w:cs="Calibri"/>
                <w:sz w:val="20"/>
                <w:szCs w:val="20"/>
              </w:rPr>
            </w:pPr>
            <w:r>
              <w:rPr>
                <w:sz w:val="20"/>
              </w:rPr>
              <w:t>FAIBLE</w:t>
            </w:r>
          </w:p>
        </w:tc>
        <w:tc>
          <w:tcPr>
            <w:tcW w:w="2610" w:type="dxa"/>
            <w:tcBorders>
              <w:top w:val="single" w:sz="4" w:space="0" w:color="000000"/>
              <w:left w:val="single" w:sz="4" w:space="0" w:color="000000"/>
              <w:bottom w:val="single" w:sz="4" w:space="0" w:color="000000"/>
              <w:right w:val="single" w:sz="4" w:space="0" w:color="000000"/>
            </w:tcBorders>
          </w:tcPr>
          <w:p w:rsidR="006841FE" w:rsidRDefault="006841FE" w:rsidP="00F863EC">
            <w:pPr>
              <w:rPr>
                <w:rFonts w:cs="Calibri"/>
                <w:sz w:val="20"/>
                <w:szCs w:val="20"/>
              </w:rPr>
            </w:pPr>
          </w:p>
          <w:p w:rsidR="006841FE" w:rsidRDefault="006841FE" w:rsidP="006841FE">
            <w:pPr>
              <w:rPr>
                <w:sz w:val="20"/>
                <w:szCs w:val="20"/>
              </w:rPr>
            </w:pPr>
            <w:r>
              <w:rPr>
                <w:sz w:val="20"/>
              </w:rPr>
              <w:t xml:space="preserve">Les politiques et les consignes écrites de l’organisme de service prévoient le fait de soutenir les services </w:t>
            </w:r>
            <w:r w:rsidR="0009697E">
              <w:rPr>
                <w:sz w:val="20"/>
              </w:rPr>
              <w:t xml:space="preserve">et soutiens </w:t>
            </w:r>
            <w:r>
              <w:rPr>
                <w:sz w:val="20"/>
              </w:rPr>
              <w:t>de relève pour fournisseurs de soins en tenant compte des conditions de la convention de service conclue avec l’organisme qui visent</w:t>
            </w:r>
            <w:r w:rsidR="0009697E">
              <w:rPr>
                <w:sz w:val="20"/>
              </w:rPr>
              <w:t>,</w:t>
            </w:r>
            <w:r>
              <w:rPr>
                <w:sz w:val="20"/>
              </w:rPr>
              <w:t xml:space="preserve"> par exemple</w:t>
            </w:r>
            <w:r w:rsidR="0009697E">
              <w:rPr>
                <w:sz w:val="20"/>
              </w:rPr>
              <w:t>,</w:t>
            </w:r>
            <w:r>
              <w:rPr>
                <w:sz w:val="20"/>
              </w:rPr>
              <w:t xml:space="preserve"> les services de relève planifiés et d’urgence, le cas échéant.</w:t>
            </w:r>
          </w:p>
          <w:p w:rsidR="00F669E4" w:rsidRPr="0081122E" w:rsidRDefault="006841FE" w:rsidP="006841FE">
            <w:pPr>
              <w:rPr>
                <w:rFonts w:cs="Calibri"/>
                <w:sz w:val="20"/>
                <w:szCs w:val="20"/>
              </w:rPr>
            </w:pPr>
            <w:r>
              <w:rPr>
                <w:sz w:val="20"/>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6841FE" w:rsidRDefault="006841FE" w:rsidP="007F0E49">
            <w:pPr>
              <w:rPr>
                <w:rFonts w:cs="Calibri"/>
                <w:sz w:val="20"/>
                <w:szCs w:val="20"/>
              </w:rPr>
            </w:pPr>
          </w:p>
          <w:p w:rsidR="00F669E4" w:rsidRPr="0081122E" w:rsidRDefault="00704F8A" w:rsidP="007F0E49">
            <w:pPr>
              <w:rPr>
                <w:rFonts w:cs="Calibri"/>
                <w:sz w:val="20"/>
                <w:szCs w:val="20"/>
              </w:rPr>
            </w:pPr>
            <w:r>
              <w:rPr>
                <w:sz w:val="20"/>
              </w:rPr>
              <w:t xml:space="preserve">Les politiques et les consignes ne prévoient pas le fait de soutenir les services </w:t>
            </w:r>
            <w:r w:rsidR="0009697E">
              <w:rPr>
                <w:sz w:val="20"/>
              </w:rPr>
              <w:t xml:space="preserve">et soutiens </w:t>
            </w:r>
            <w:r>
              <w:rPr>
                <w:sz w:val="20"/>
              </w:rPr>
              <w:t>de relève pour fournisseurs de soins en tenant compte des conditions de la convention de service conclue avec l’organisme qui visent</w:t>
            </w:r>
            <w:r w:rsidR="0009697E">
              <w:rPr>
                <w:sz w:val="20"/>
              </w:rPr>
              <w:t>,</w:t>
            </w:r>
            <w:r>
              <w:rPr>
                <w:sz w:val="20"/>
              </w:rPr>
              <w:t xml:space="preserve"> par exemple</w:t>
            </w:r>
            <w:r w:rsidR="0009697E">
              <w:rPr>
                <w:sz w:val="20"/>
              </w:rPr>
              <w:t>,</w:t>
            </w:r>
            <w:r>
              <w:rPr>
                <w:sz w:val="20"/>
              </w:rPr>
              <w:t xml:space="preserve"> les services de relève planifiés et d’urgence, le cas échéant.</w:t>
            </w:r>
          </w:p>
        </w:tc>
        <w:tc>
          <w:tcPr>
            <w:tcW w:w="2220" w:type="dxa"/>
            <w:tcBorders>
              <w:top w:val="single" w:sz="4" w:space="0" w:color="000000"/>
              <w:left w:val="single" w:sz="4" w:space="0" w:color="000000"/>
              <w:bottom w:val="single" w:sz="4" w:space="0" w:color="000000"/>
              <w:right w:val="single" w:sz="4" w:space="0" w:color="000000"/>
            </w:tcBorders>
          </w:tcPr>
          <w:p w:rsidR="006841FE" w:rsidRDefault="006841FE" w:rsidP="007F0E49">
            <w:pPr>
              <w:rPr>
                <w:rFonts w:cs="Calibri"/>
                <w:sz w:val="20"/>
                <w:szCs w:val="20"/>
              </w:rPr>
            </w:pPr>
          </w:p>
          <w:p w:rsidR="00F669E4" w:rsidRDefault="00F669E4" w:rsidP="007F0E49">
            <w:pPr>
              <w:rPr>
                <w:rFonts w:cs="Calibri"/>
                <w:sz w:val="20"/>
                <w:szCs w:val="20"/>
              </w:rPr>
            </w:pPr>
            <w:r>
              <w:rPr>
                <w:sz w:val="20"/>
              </w:rPr>
              <w:t>Politiques et consignes écrites finales/approuvées et datées.</w:t>
            </w:r>
          </w:p>
        </w:tc>
      </w:tr>
      <w:tr w:rsidR="00F669E4" w:rsidRPr="0081122E" w:rsidTr="00637B60">
        <w:trPr>
          <w:trHeight w:hRule="exact" w:val="787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9C0C22" w:rsidRDefault="009C0C22" w:rsidP="009C0C22">
            <w:pPr>
              <w:rPr>
                <w:sz w:val="20"/>
                <w:szCs w:val="20"/>
              </w:rPr>
            </w:pPr>
          </w:p>
          <w:p w:rsidR="009C0C22" w:rsidRPr="00B41E61" w:rsidRDefault="009C0C22" w:rsidP="009C0C22">
            <w:pPr>
              <w:rPr>
                <w:sz w:val="20"/>
                <w:szCs w:val="20"/>
              </w:rPr>
            </w:pPr>
            <w:r>
              <w:rPr>
                <w:sz w:val="20"/>
              </w:rPr>
              <w:t>72</w:t>
            </w:r>
            <w:r w:rsidR="00B74868">
              <w:rPr>
                <w:sz w:val="20"/>
              </w:rPr>
              <w:t xml:space="preserve">. </w:t>
            </w:r>
            <w:r>
              <w:rPr>
                <w:sz w:val="20"/>
              </w:rPr>
              <w:t>Soutien et supervision; services de relève, inspection matérielle et présélection initiale</w:t>
            </w:r>
          </w:p>
          <w:p w:rsidR="009C0C22" w:rsidRPr="00B41E61" w:rsidRDefault="009C0C22" w:rsidP="009C0C22">
            <w:pPr>
              <w:rPr>
                <w:sz w:val="20"/>
                <w:szCs w:val="20"/>
              </w:rPr>
            </w:pPr>
          </w:p>
          <w:p w:rsidR="00704F8A" w:rsidRDefault="00704F8A" w:rsidP="009C0C22">
            <w:pPr>
              <w:rPr>
                <w:sz w:val="20"/>
                <w:szCs w:val="20"/>
              </w:rPr>
            </w:pPr>
          </w:p>
          <w:p w:rsidR="00250820" w:rsidRDefault="00250820" w:rsidP="00637B60">
            <w:r>
              <w:rPr>
                <w:sz w:val="20"/>
              </w:rPr>
              <w:t xml:space="preserve">Les organismes de service qui administrent le Programme de placement en famille hôte doivent établir des politiques et des consignes qui traitent du fait de soutenir les services </w:t>
            </w:r>
            <w:r w:rsidR="00F10B45">
              <w:rPr>
                <w:sz w:val="20"/>
              </w:rPr>
              <w:t xml:space="preserve">et soutiens </w:t>
            </w:r>
            <w:r>
              <w:rPr>
                <w:sz w:val="20"/>
              </w:rPr>
              <w:t>de relève pour fournisseurs de soins en déterminant à quel moment une présélection devrait comporter une inspection physique de la résidence du fournisseur de soins de relève et dans quels cas il convient de procéder à une présélection initiale du fournisseur de soins de relève.</w:t>
            </w:r>
          </w:p>
          <w:p w:rsidR="00250820" w:rsidRDefault="00250820" w:rsidP="009C0C22">
            <w:pPr>
              <w:pStyle w:val="TableParagraph"/>
              <w:spacing w:before="48"/>
              <w:rPr>
                <w:sz w:val="20"/>
                <w:szCs w:val="20"/>
              </w:rPr>
            </w:pPr>
          </w:p>
          <w:p w:rsidR="00F669E4" w:rsidRPr="0081122E" w:rsidRDefault="009C0C22" w:rsidP="009C0C22">
            <w:pPr>
              <w:pStyle w:val="TableParagraph"/>
              <w:spacing w:before="48"/>
              <w:rPr>
                <w:rFonts w:cs="Calibri"/>
                <w:sz w:val="20"/>
                <w:szCs w:val="20"/>
              </w:rPr>
            </w:pPr>
            <w:r>
              <w:rPr>
                <w:sz w:val="20"/>
              </w:rPr>
              <w:t>Directives en matière de politique s’appliquant aux organismes de service en ce qui a trait au Programme de placement en famille hôte 3.1</w:t>
            </w:r>
          </w:p>
          <w:p w:rsidR="00F669E4" w:rsidRPr="0081122E" w:rsidRDefault="00F669E4" w:rsidP="00D236C6">
            <w:pPr>
              <w:widowControl/>
              <w:rPr>
                <w:rFonts w:cs="Calibri"/>
                <w:sz w:val="20"/>
                <w:szCs w:val="20"/>
              </w:rPr>
            </w:pPr>
          </w:p>
        </w:tc>
        <w:tc>
          <w:tcPr>
            <w:tcW w:w="3462" w:type="dxa"/>
            <w:tcBorders>
              <w:top w:val="single" w:sz="4" w:space="0" w:color="000000"/>
              <w:left w:val="single" w:sz="4" w:space="0" w:color="auto"/>
              <w:bottom w:val="single" w:sz="4" w:space="0" w:color="000000"/>
              <w:right w:val="single" w:sz="4" w:space="0" w:color="auto"/>
            </w:tcBorders>
          </w:tcPr>
          <w:p w:rsidR="00F669E4" w:rsidRDefault="00F669E4" w:rsidP="00AF4E37">
            <w:pPr>
              <w:rPr>
                <w:rFonts w:cs="Calibri"/>
                <w:sz w:val="20"/>
                <w:szCs w:val="20"/>
              </w:rPr>
            </w:pPr>
          </w:p>
          <w:p w:rsidR="004F27B9" w:rsidRDefault="004F27B9" w:rsidP="004F27B9">
            <w:pPr>
              <w:rPr>
                <w:rFonts w:cs="Calibri"/>
                <w:sz w:val="20"/>
                <w:szCs w:val="20"/>
              </w:rPr>
            </w:pPr>
            <w:r>
              <w:rPr>
                <w:rFonts w:asciiTheme="minorHAnsi" w:hAnsiTheme="minorHAnsi" w:cstheme="minorHAnsi"/>
                <w:sz w:val="20"/>
              </w:rPr>
              <w:t>Les activités de soutien et de supervision continues réalisées par l’organisme auprès des personnes placées et des familles hôtes contribuent à établir et à entretenir des relations durables</w:t>
            </w:r>
            <w:r w:rsidR="00B74868">
              <w:rPr>
                <w:rFonts w:asciiTheme="minorHAnsi" w:hAnsiTheme="minorHAnsi" w:cstheme="minorHAnsi"/>
                <w:sz w:val="20"/>
              </w:rPr>
              <w:t xml:space="preserve">. </w:t>
            </w:r>
            <w:r>
              <w:rPr>
                <w:rFonts w:asciiTheme="minorHAnsi" w:hAnsiTheme="minorHAnsi" w:cstheme="minorHAnsi"/>
                <w:sz w:val="20"/>
              </w:rPr>
              <w:t>Elles permettent également de promouvoir et de garantir le bien-être de toutes les personnes participant au placement en famille hôte.</w:t>
            </w:r>
          </w:p>
          <w:p w:rsidR="004F27B9" w:rsidRDefault="004F27B9" w:rsidP="00E50A9F">
            <w:pPr>
              <w:rPr>
                <w:rFonts w:cstheme="minorHAnsi"/>
                <w:sz w:val="20"/>
                <w:szCs w:val="20"/>
              </w:rPr>
            </w:pPr>
          </w:p>
          <w:p w:rsidR="0065109A" w:rsidRPr="00E93EBE" w:rsidRDefault="00E93EBE" w:rsidP="00E50A9F">
            <w:pPr>
              <w:rPr>
                <w:rFonts w:cs="Calibri"/>
                <w:sz w:val="20"/>
                <w:szCs w:val="20"/>
              </w:rPr>
            </w:pPr>
            <w:r>
              <w:rPr>
                <w:sz w:val="20"/>
              </w:rPr>
              <w:t>Les politiques et les consignes peuvent, par exemple, porter sur les services de relève de nuit, les services de relève rémunérés ou la fréquence à laquelle les services de relève sont fournis.</w:t>
            </w:r>
          </w:p>
        </w:tc>
        <w:tc>
          <w:tcPr>
            <w:tcW w:w="1080" w:type="dxa"/>
            <w:tcBorders>
              <w:top w:val="single" w:sz="4" w:space="0" w:color="000000"/>
              <w:left w:val="single" w:sz="4" w:space="0" w:color="auto"/>
              <w:bottom w:val="single" w:sz="4" w:space="0" w:color="000000"/>
              <w:right w:val="single" w:sz="4" w:space="0" w:color="000000"/>
            </w:tcBorders>
          </w:tcPr>
          <w:p w:rsidR="0037131B" w:rsidRDefault="0037131B" w:rsidP="000C524B">
            <w:pPr>
              <w:rPr>
                <w:rFonts w:cs="Calibri"/>
                <w:sz w:val="20"/>
                <w:szCs w:val="20"/>
              </w:rPr>
            </w:pPr>
          </w:p>
          <w:p w:rsidR="00F669E4" w:rsidRPr="0081122E" w:rsidRDefault="00B14788" w:rsidP="0037131B">
            <w:pPr>
              <w:jc w:val="center"/>
              <w:rPr>
                <w:rFonts w:cs="Calibri"/>
                <w:sz w:val="20"/>
                <w:szCs w:val="20"/>
              </w:rPr>
            </w:pPr>
            <w:r>
              <w:rPr>
                <w:sz w:val="20"/>
              </w:rPr>
              <w:t>FAIBLE</w:t>
            </w:r>
          </w:p>
        </w:tc>
        <w:tc>
          <w:tcPr>
            <w:tcW w:w="2610" w:type="dxa"/>
            <w:tcBorders>
              <w:top w:val="single" w:sz="4" w:space="0" w:color="000000"/>
              <w:left w:val="single" w:sz="4" w:space="0" w:color="000000"/>
              <w:bottom w:val="single" w:sz="4" w:space="0" w:color="000000"/>
              <w:right w:val="single" w:sz="4" w:space="0" w:color="000000"/>
            </w:tcBorders>
          </w:tcPr>
          <w:p w:rsidR="00F669E4" w:rsidRDefault="00F669E4" w:rsidP="0037131B">
            <w:pPr>
              <w:rPr>
                <w:rFonts w:cs="Calibri"/>
                <w:sz w:val="20"/>
                <w:szCs w:val="20"/>
              </w:rPr>
            </w:pPr>
          </w:p>
          <w:p w:rsidR="00407D16" w:rsidRPr="00637B60" w:rsidRDefault="0037131B" w:rsidP="00407D16">
            <w:pPr>
              <w:rPr>
                <w:sz w:val="20"/>
                <w:szCs w:val="20"/>
              </w:rPr>
            </w:pPr>
            <w:r>
              <w:rPr>
                <w:sz w:val="20"/>
              </w:rPr>
              <w:t xml:space="preserve">Les politiques et les consignes écrites de l’organisme de service prévoient le fait de soutenir les services </w:t>
            </w:r>
            <w:r w:rsidR="00F10B45">
              <w:rPr>
                <w:sz w:val="20"/>
              </w:rPr>
              <w:t xml:space="preserve">et soutiens </w:t>
            </w:r>
            <w:r>
              <w:rPr>
                <w:sz w:val="20"/>
              </w:rPr>
              <w:t>de relève pour fournisseurs de soins en déterminant à quel moment une présélection devrait comporter une inspection physique de la résidence du fournisseur de soins de relève et dans quels cas il convient de procéder à une présélection initiale du fournisseur de soins de relève.</w:t>
            </w:r>
          </w:p>
          <w:p w:rsidR="0037131B" w:rsidRPr="0081122E" w:rsidRDefault="0037131B" w:rsidP="0037131B">
            <w:pPr>
              <w:rPr>
                <w:rFonts w:cs="Calibri"/>
                <w:sz w:val="20"/>
                <w:szCs w:val="20"/>
              </w:rPr>
            </w:pPr>
          </w:p>
        </w:tc>
        <w:tc>
          <w:tcPr>
            <w:tcW w:w="2056" w:type="dxa"/>
            <w:tcBorders>
              <w:top w:val="single" w:sz="4" w:space="0" w:color="000000"/>
              <w:left w:val="single" w:sz="4" w:space="0" w:color="000000"/>
              <w:bottom w:val="single" w:sz="4" w:space="0" w:color="000000"/>
              <w:right w:val="single" w:sz="4" w:space="0" w:color="000000"/>
            </w:tcBorders>
          </w:tcPr>
          <w:p w:rsidR="0037131B" w:rsidRDefault="0037131B" w:rsidP="00AB0457">
            <w:pPr>
              <w:rPr>
                <w:rFonts w:cs="Calibri"/>
                <w:sz w:val="20"/>
                <w:szCs w:val="20"/>
              </w:rPr>
            </w:pPr>
          </w:p>
          <w:p w:rsidR="00250820" w:rsidRDefault="00704F8A" w:rsidP="00637B60">
            <w:pPr>
              <w:rPr>
                <w:sz w:val="20"/>
                <w:szCs w:val="20"/>
              </w:rPr>
            </w:pPr>
            <w:r>
              <w:rPr>
                <w:sz w:val="20"/>
              </w:rPr>
              <w:t xml:space="preserve">Les politiques et les consignes ne prévoient pas le fait de soutenir les services </w:t>
            </w:r>
            <w:r w:rsidR="00F10B45">
              <w:rPr>
                <w:sz w:val="20"/>
              </w:rPr>
              <w:t xml:space="preserve">et soutiens </w:t>
            </w:r>
            <w:r>
              <w:rPr>
                <w:sz w:val="20"/>
              </w:rPr>
              <w:t>de relève pour fournisseurs de soins en déterminant à quel moment une présélection devrait comporter une inspection physique de la résidence du fournisseur de soins de relève et dans quels cas il convient de procéder à une présélection initiale du fournisseur de soins de relève.</w:t>
            </w:r>
          </w:p>
          <w:p w:rsidR="00F669E4" w:rsidRPr="0081122E" w:rsidRDefault="00F669E4" w:rsidP="00AB0457">
            <w:pPr>
              <w:rPr>
                <w:rFonts w:cs="Calibri"/>
                <w:sz w:val="20"/>
                <w:szCs w:val="20"/>
              </w:rPr>
            </w:pPr>
          </w:p>
        </w:tc>
        <w:tc>
          <w:tcPr>
            <w:tcW w:w="2220" w:type="dxa"/>
            <w:tcBorders>
              <w:top w:val="single" w:sz="4" w:space="0" w:color="000000"/>
              <w:left w:val="single" w:sz="4" w:space="0" w:color="000000"/>
              <w:bottom w:val="single" w:sz="4" w:space="0" w:color="000000"/>
              <w:right w:val="single" w:sz="4" w:space="0" w:color="000000"/>
            </w:tcBorders>
          </w:tcPr>
          <w:p w:rsidR="0037131B" w:rsidRDefault="0037131B" w:rsidP="00AB0457">
            <w:pPr>
              <w:rPr>
                <w:rFonts w:cs="Calibri"/>
                <w:sz w:val="20"/>
                <w:szCs w:val="20"/>
              </w:rPr>
            </w:pPr>
          </w:p>
          <w:p w:rsidR="00F669E4" w:rsidRDefault="00F669E4" w:rsidP="00AB0457">
            <w:pPr>
              <w:rPr>
                <w:rFonts w:cs="Calibri"/>
                <w:sz w:val="20"/>
                <w:szCs w:val="20"/>
              </w:rPr>
            </w:pPr>
            <w:r>
              <w:rPr>
                <w:sz w:val="20"/>
              </w:rPr>
              <w:t>Politiques et consignes écrites finales/approuvées et datées.</w:t>
            </w:r>
          </w:p>
        </w:tc>
      </w:tr>
      <w:tr w:rsidR="00F669E4" w:rsidRPr="0081122E" w:rsidTr="00637B60">
        <w:trPr>
          <w:trHeight w:hRule="exact" w:val="787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8D7E53" w:rsidRDefault="008D7E53" w:rsidP="008D7E53">
            <w:pPr>
              <w:pStyle w:val="TableParagraph"/>
              <w:spacing w:before="7" w:line="190" w:lineRule="exact"/>
              <w:rPr>
                <w:rFonts w:cs="Calibri"/>
                <w:sz w:val="20"/>
                <w:szCs w:val="20"/>
              </w:rPr>
            </w:pPr>
          </w:p>
          <w:p w:rsidR="00F669E4" w:rsidRDefault="008D7E53" w:rsidP="008D7E53">
            <w:pPr>
              <w:pStyle w:val="TableParagraph"/>
              <w:spacing w:before="7" w:line="190" w:lineRule="exact"/>
              <w:rPr>
                <w:rFonts w:cs="Calibri"/>
                <w:sz w:val="20"/>
                <w:szCs w:val="20"/>
              </w:rPr>
            </w:pPr>
            <w:r>
              <w:rPr>
                <w:sz w:val="20"/>
              </w:rPr>
              <w:t>73</w:t>
            </w:r>
            <w:r w:rsidR="00B74868">
              <w:rPr>
                <w:sz w:val="20"/>
              </w:rPr>
              <w:t xml:space="preserve">. </w:t>
            </w:r>
            <w:r>
              <w:rPr>
                <w:sz w:val="20"/>
              </w:rPr>
              <w:t>Soutien et supervision; facilitation de la communication</w:t>
            </w:r>
          </w:p>
          <w:p w:rsidR="008D7E53" w:rsidRPr="0081122E" w:rsidRDefault="008D7E53" w:rsidP="008D7E53">
            <w:pPr>
              <w:pStyle w:val="TableParagraph"/>
              <w:spacing w:before="7" w:line="190" w:lineRule="exact"/>
              <w:rPr>
                <w:rFonts w:cs="Calibri"/>
                <w:sz w:val="20"/>
                <w:szCs w:val="20"/>
              </w:rPr>
            </w:pPr>
          </w:p>
          <w:p w:rsidR="008D7E53" w:rsidRDefault="00704F8A" w:rsidP="008D7E53">
            <w:pPr>
              <w:pStyle w:val="TableParagraph"/>
              <w:spacing w:before="48"/>
              <w:rPr>
                <w:rFonts w:cs="Calibri"/>
                <w:sz w:val="20"/>
                <w:szCs w:val="20"/>
              </w:rPr>
            </w:pPr>
            <w:r>
              <w:rPr>
                <w:sz w:val="20"/>
              </w:rPr>
              <w:t>Les organismes de service qui administrent le Programme de placement en famille hôte doivent établir des politiques et des consignes qui traitent du fait de faciliter la communication entre la personne placée, sa famille/son tuteur et la famille hôte, le cas échéant.</w:t>
            </w:r>
          </w:p>
          <w:p w:rsidR="00407D16" w:rsidRDefault="00407D16" w:rsidP="008D7E53">
            <w:pPr>
              <w:pStyle w:val="TableParagraph"/>
              <w:spacing w:before="48"/>
              <w:rPr>
                <w:rFonts w:cs="Calibri"/>
                <w:sz w:val="20"/>
                <w:szCs w:val="20"/>
              </w:rPr>
            </w:pPr>
          </w:p>
          <w:p w:rsidR="00704F8A" w:rsidRDefault="00704F8A" w:rsidP="008D7E53">
            <w:pPr>
              <w:pStyle w:val="TableParagraph"/>
              <w:spacing w:before="48"/>
              <w:rPr>
                <w:rFonts w:cs="Calibri"/>
                <w:sz w:val="20"/>
                <w:szCs w:val="20"/>
              </w:rPr>
            </w:pPr>
          </w:p>
          <w:p w:rsidR="008D7E53" w:rsidRPr="0081122E" w:rsidRDefault="008D7E53" w:rsidP="008D7E53">
            <w:pPr>
              <w:pStyle w:val="TableParagraph"/>
              <w:spacing w:before="48"/>
              <w:rPr>
                <w:rFonts w:cs="Calibri"/>
                <w:sz w:val="20"/>
                <w:szCs w:val="20"/>
              </w:rPr>
            </w:pPr>
            <w:r>
              <w:rPr>
                <w:sz w:val="20"/>
              </w:rPr>
              <w:t>Directives en matière de politique s’appliquant aux organismes de service en ce qui a trait au Programme de placement en famille hôte 3.1</w:t>
            </w:r>
          </w:p>
          <w:p w:rsidR="00F669E4" w:rsidRPr="0081122E" w:rsidRDefault="00F669E4" w:rsidP="00A344BE">
            <w:pPr>
              <w:pStyle w:val="TableParagraph"/>
              <w:spacing w:before="48"/>
              <w:rPr>
                <w:rFonts w:cs="Calibri"/>
                <w:sz w:val="20"/>
                <w:szCs w:val="20"/>
              </w:rPr>
            </w:pPr>
          </w:p>
          <w:p w:rsidR="00F669E4" w:rsidRPr="0081122E" w:rsidRDefault="00F669E4" w:rsidP="00F824BB">
            <w:pPr>
              <w:widowControl/>
              <w:rPr>
                <w:rFonts w:cs="Calibri"/>
                <w:sz w:val="20"/>
                <w:szCs w:val="20"/>
              </w:rPr>
            </w:pPr>
          </w:p>
          <w:p w:rsidR="00F669E4" w:rsidRPr="0081122E" w:rsidRDefault="00F669E4" w:rsidP="00A344BE">
            <w:pPr>
              <w:pStyle w:val="TableParagraph"/>
              <w:spacing w:before="48"/>
              <w:rPr>
                <w:rFonts w:cs="Calibri"/>
                <w:sz w:val="20"/>
                <w:szCs w:val="20"/>
              </w:rPr>
            </w:pPr>
          </w:p>
        </w:tc>
        <w:tc>
          <w:tcPr>
            <w:tcW w:w="3462" w:type="dxa"/>
            <w:tcBorders>
              <w:top w:val="single" w:sz="4" w:space="0" w:color="000000"/>
              <w:left w:val="single" w:sz="4" w:space="0" w:color="auto"/>
              <w:bottom w:val="single" w:sz="4" w:space="0" w:color="000000"/>
              <w:right w:val="single" w:sz="4" w:space="0" w:color="auto"/>
            </w:tcBorders>
          </w:tcPr>
          <w:p w:rsidR="00F669E4" w:rsidRDefault="00F669E4" w:rsidP="00620357">
            <w:pPr>
              <w:rPr>
                <w:rFonts w:cs="Calibri"/>
                <w:sz w:val="20"/>
                <w:szCs w:val="20"/>
              </w:rPr>
            </w:pPr>
          </w:p>
          <w:p w:rsidR="00853EC0" w:rsidRDefault="00853EC0" w:rsidP="00853EC0">
            <w:pPr>
              <w:rPr>
                <w:rFonts w:cs="Calibri"/>
                <w:sz w:val="20"/>
                <w:szCs w:val="20"/>
              </w:rPr>
            </w:pPr>
            <w:r>
              <w:rPr>
                <w:rFonts w:asciiTheme="minorHAnsi" w:hAnsiTheme="minorHAnsi" w:cstheme="minorHAnsi"/>
                <w:sz w:val="20"/>
              </w:rPr>
              <w:t>Les activités de soutien et de supervision continues réalisées par l’organisme auprès des personnes placées et des familles hôtes contribuent à établir et à entretenir des relations durables</w:t>
            </w:r>
            <w:r w:rsidR="00B74868">
              <w:rPr>
                <w:rFonts w:asciiTheme="minorHAnsi" w:hAnsiTheme="minorHAnsi" w:cstheme="minorHAnsi"/>
                <w:sz w:val="20"/>
              </w:rPr>
              <w:t xml:space="preserve">. </w:t>
            </w:r>
            <w:r>
              <w:rPr>
                <w:rFonts w:asciiTheme="minorHAnsi" w:hAnsiTheme="minorHAnsi" w:cstheme="minorHAnsi"/>
                <w:sz w:val="20"/>
              </w:rPr>
              <w:t>Elles permettent également de promouvoir et de garantir le bien-être de toutes les personnes participant au placement en famille hôte.</w:t>
            </w:r>
          </w:p>
          <w:p w:rsidR="00853EC0" w:rsidRDefault="00853EC0" w:rsidP="003E5F9C">
            <w:pPr>
              <w:rPr>
                <w:rFonts w:cs="Calibri"/>
                <w:sz w:val="20"/>
                <w:szCs w:val="20"/>
              </w:rPr>
            </w:pPr>
          </w:p>
          <w:p w:rsidR="00853EC0" w:rsidRDefault="00853EC0" w:rsidP="003E5F9C">
            <w:pPr>
              <w:rPr>
                <w:rFonts w:cs="Calibri"/>
                <w:sz w:val="20"/>
                <w:szCs w:val="20"/>
              </w:rPr>
            </w:pPr>
          </w:p>
          <w:p w:rsidR="00853EC0" w:rsidRPr="00840C6D" w:rsidRDefault="00853EC0" w:rsidP="003E5F9C">
            <w:pPr>
              <w:rPr>
                <w:rFonts w:cs="Calibri"/>
                <w:color w:val="FF0000"/>
                <w:sz w:val="20"/>
                <w:szCs w:val="20"/>
              </w:rPr>
            </w:pPr>
            <w:r>
              <w:rPr>
                <w:sz w:val="20"/>
              </w:rPr>
              <w:t>Le ministère reconnaît que la communication entre la personne placée et sa famille/son tuteur peut ne pas être convenable ou souhaitable dans toutes les situations, ce dont les politiques et consignes doivent/peuvent tenir compte.</w:t>
            </w:r>
          </w:p>
        </w:tc>
        <w:tc>
          <w:tcPr>
            <w:tcW w:w="1080" w:type="dxa"/>
            <w:tcBorders>
              <w:top w:val="single" w:sz="4" w:space="0" w:color="000000"/>
              <w:left w:val="single" w:sz="4" w:space="0" w:color="auto"/>
              <w:bottom w:val="single" w:sz="4" w:space="0" w:color="000000"/>
              <w:right w:val="single" w:sz="4" w:space="0" w:color="000000"/>
            </w:tcBorders>
          </w:tcPr>
          <w:p w:rsidR="008D7E53" w:rsidRDefault="008D7E53" w:rsidP="000C524B">
            <w:pPr>
              <w:rPr>
                <w:rFonts w:cs="Calibri"/>
                <w:sz w:val="20"/>
                <w:szCs w:val="20"/>
              </w:rPr>
            </w:pPr>
          </w:p>
          <w:p w:rsidR="00F669E4" w:rsidRPr="00F71B89" w:rsidRDefault="00B14788" w:rsidP="008D7E53">
            <w:pPr>
              <w:jc w:val="center"/>
              <w:rPr>
                <w:rFonts w:cs="Calibri"/>
                <w:b/>
                <w:sz w:val="20"/>
                <w:szCs w:val="20"/>
              </w:rPr>
            </w:pPr>
            <w:r>
              <w:rPr>
                <w:sz w:val="20"/>
              </w:rPr>
              <w:t>FAIBLE</w:t>
            </w:r>
          </w:p>
        </w:tc>
        <w:tc>
          <w:tcPr>
            <w:tcW w:w="2610" w:type="dxa"/>
            <w:tcBorders>
              <w:top w:val="single" w:sz="4" w:space="0" w:color="000000"/>
              <w:left w:val="single" w:sz="4" w:space="0" w:color="000000"/>
              <w:bottom w:val="single" w:sz="4" w:space="0" w:color="000000"/>
              <w:right w:val="single" w:sz="4" w:space="0" w:color="000000"/>
            </w:tcBorders>
          </w:tcPr>
          <w:p w:rsidR="00F669E4" w:rsidRPr="0081122E" w:rsidRDefault="00F669E4" w:rsidP="00F863EC">
            <w:pPr>
              <w:rPr>
                <w:rFonts w:cs="Calibri"/>
                <w:sz w:val="20"/>
                <w:szCs w:val="20"/>
              </w:rPr>
            </w:pPr>
          </w:p>
          <w:p w:rsidR="00F669E4" w:rsidRPr="0081122E" w:rsidRDefault="008D7E53" w:rsidP="00F863EC">
            <w:pPr>
              <w:rPr>
                <w:rFonts w:cs="Calibri"/>
                <w:sz w:val="20"/>
                <w:szCs w:val="20"/>
              </w:rPr>
            </w:pPr>
            <w:r>
              <w:rPr>
                <w:sz w:val="20"/>
              </w:rPr>
              <w:t xml:space="preserve">Les politiques et les consignes écrites de l’organisme de service prévoient le fait de faciliter la communication entre la personne placée, sa famille/son tuteur et la famille hôte, le cas échéant. </w:t>
            </w:r>
          </w:p>
          <w:p w:rsidR="00F669E4" w:rsidRPr="0081122E" w:rsidRDefault="00F669E4" w:rsidP="00F863EC">
            <w:pPr>
              <w:rPr>
                <w:rFonts w:cs="Calibri"/>
                <w:sz w:val="20"/>
                <w:szCs w:val="20"/>
              </w:rPr>
            </w:pPr>
          </w:p>
          <w:p w:rsidR="00F669E4" w:rsidRPr="0081122E" w:rsidRDefault="00F669E4" w:rsidP="0004374E">
            <w:pPr>
              <w:rPr>
                <w:rFonts w:cs="Calibri"/>
                <w:sz w:val="20"/>
                <w:szCs w:val="20"/>
              </w:rPr>
            </w:pPr>
          </w:p>
        </w:tc>
        <w:tc>
          <w:tcPr>
            <w:tcW w:w="2056" w:type="dxa"/>
            <w:tcBorders>
              <w:top w:val="single" w:sz="4" w:space="0" w:color="000000"/>
              <w:left w:val="single" w:sz="4" w:space="0" w:color="000000"/>
              <w:bottom w:val="single" w:sz="4" w:space="0" w:color="000000"/>
              <w:right w:val="single" w:sz="4" w:space="0" w:color="000000"/>
            </w:tcBorders>
          </w:tcPr>
          <w:p w:rsidR="008D7E53" w:rsidRDefault="008D7E53" w:rsidP="00AB0457">
            <w:pPr>
              <w:rPr>
                <w:rFonts w:cs="Calibri"/>
                <w:sz w:val="20"/>
                <w:szCs w:val="20"/>
              </w:rPr>
            </w:pPr>
          </w:p>
          <w:p w:rsidR="00F669E4" w:rsidRPr="0081122E" w:rsidRDefault="00704F8A" w:rsidP="00AB0457">
            <w:pPr>
              <w:rPr>
                <w:rFonts w:cs="Calibri"/>
                <w:sz w:val="20"/>
                <w:szCs w:val="20"/>
              </w:rPr>
            </w:pPr>
            <w:r>
              <w:rPr>
                <w:sz w:val="20"/>
              </w:rPr>
              <w:t>Les politiques et les consignes relatives au soutien et à la supervision des familles hôtes ne prévoient pas le fait de faciliter la communication entre la personne placée, sa famille/son tuteur et la famille hôte, le cas échéant.</w:t>
            </w:r>
          </w:p>
        </w:tc>
        <w:tc>
          <w:tcPr>
            <w:tcW w:w="2220" w:type="dxa"/>
            <w:tcBorders>
              <w:top w:val="single" w:sz="4" w:space="0" w:color="000000"/>
              <w:left w:val="single" w:sz="4" w:space="0" w:color="000000"/>
              <w:bottom w:val="single" w:sz="4" w:space="0" w:color="000000"/>
              <w:right w:val="single" w:sz="4" w:space="0" w:color="000000"/>
            </w:tcBorders>
          </w:tcPr>
          <w:p w:rsidR="008D7E53" w:rsidRDefault="008D7E53" w:rsidP="00AB0457">
            <w:pPr>
              <w:rPr>
                <w:rFonts w:cs="Calibri"/>
                <w:sz w:val="20"/>
                <w:szCs w:val="20"/>
              </w:rPr>
            </w:pPr>
          </w:p>
          <w:p w:rsidR="00F669E4" w:rsidRDefault="00F669E4" w:rsidP="00AB0457">
            <w:pPr>
              <w:rPr>
                <w:rFonts w:cs="Calibri"/>
                <w:sz w:val="20"/>
                <w:szCs w:val="20"/>
              </w:rPr>
            </w:pPr>
            <w:r>
              <w:rPr>
                <w:sz w:val="20"/>
              </w:rPr>
              <w:t>Politiques et consignes écrites finales/approuvées et datées.</w:t>
            </w:r>
          </w:p>
        </w:tc>
      </w:tr>
      <w:tr w:rsidR="00F669E4" w:rsidRPr="0081122E" w:rsidTr="00637B60">
        <w:trPr>
          <w:trHeight w:hRule="exact" w:val="787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8D7E53" w:rsidRDefault="008D7E53" w:rsidP="00026E0F">
            <w:pPr>
              <w:pStyle w:val="TableParagraph"/>
              <w:spacing w:before="48"/>
              <w:ind w:left="35"/>
              <w:rPr>
                <w:rFonts w:cs="Calibri"/>
                <w:sz w:val="20"/>
                <w:szCs w:val="20"/>
              </w:rPr>
            </w:pPr>
          </w:p>
          <w:p w:rsidR="00F669E4" w:rsidRPr="0081122E" w:rsidRDefault="008D7E53" w:rsidP="00026E0F">
            <w:pPr>
              <w:pStyle w:val="TableParagraph"/>
              <w:spacing w:before="48"/>
              <w:ind w:left="35"/>
              <w:rPr>
                <w:rFonts w:cs="Calibri"/>
                <w:sz w:val="20"/>
                <w:szCs w:val="20"/>
              </w:rPr>
            </w:pPr>
            <w:r>
              <w:rPr>
                <w:sz w:val="20"/>
              </w:rPr>
              <w:t>74</w:t>
            </w:r>
            <w:r w:rsidR="00B74868">
              <w:rPr>
                <w:sz w:val="20"/>
              </w:rPr>
              <w:t xml:space="preserve">. </w:t>
            </w:r>
            <w:r>
              <w:rPr>
                <w:sz w:val="20"/>
              </w:rPr>
              <w:t>Soutien et supervision; changement de situation</w:t>
            </w:r>
          </w:p>
          <w:p w:rsidR="00F669E4" w:rsidRPr="0081122E" w:rsidRDefault="00F669E4" w:rsidP="00026E0F">
            <w:pPr>
              <w:pStyle w:val="TableParagraph"/>
              <w:spacing w:before="7" w:line="190" w:lineRule="exact"/>
              <w:rPr>
                <w:rFonts w:cs="Calibri"/>
                <w:sz w:val="20"/>
                <w:szCs w:val="20"/>
              </w:rPr>
            </w:pPr>
          </w:p>
          <w:p w:rsidR="008D7E53" w:rsidRDefault="00704F8A" w:rsidP="008D7E53">
            <w:pPr>
              <w:rPr>
                <w:sz w:val="20"/>
                <w:szCs w:val="20"/>
              </w:rPr>
            </w:pPr>
            <w:r>
              <w:rPr>
                <w:sz w:val="20"/>
              </w:rPr>
              <w:t>Les organismes de service qui administrent le Programme de placement en famille hôte doivent établir des politiques et des consignes qui traitent du fait de collaborer avec la famille hôte et la personne placée si, en raison d’un changement de situation, la famille hôte ne peut plus continuer de remplir son rôle de fournisseur principal de soins</w:t>
            </w:r>
            <w:r w:rsidR="00B74868">
              <w:rPr>
                <w:sz w:val="20"/>
              </w:rPr>
              <w:t xml:space="preserve">. </w:t>
            </w:r>
          </w:p>
          <w:p w:rsidR="00704F8A" w:rsidRPr="008D7E53" w:rsidRDefault="00704F8A" w:rsidP="008D7E53">
            <w:pPr>
              <w:rPr>
                <w:sz w:val="20"/>
                <w:szCs w:val="20"/>
              </w:rPr>
            </w:pPr>
          </w:p>
          <w:p w:rsidR="00F669E4" w:rsidRPr="0081122E" w:rsidRDefault="008D7E53" w:rsidP="008D7E53">
            <w:r>
              <w:rPr>
                <w:sz w:val="20"/>
              </w:rPr>
              <w:t>Directives en matière de politique s’appliquant aux organismes de service en ce qui a trait au Programme de placement en famille hôte 3.1</w:t>
            </w:r>
          </w:p>
        </w:tc>
        <w:tc>
          <w:tcPr>
            <w:tcW w:w="3462" w:type="dxa"/>
            <w:tcBorders>
              <w:top w:val="single" w:sz="4" w:space="0" w:color="000000"/>
              <w:left w:val="single" w:sz="4" w:space="0" w:color="auto"/>
              <w:bottom w:val="single" w:sz="4" w:space="0" w:color="000000"/>
              <w:right w:val="single" w:sz="4" w:space="0" w:color="auto"/>
            </w:tcBorders>
          </w:tcPr>
          <w:p w:rsidR="00F669E4" w:rsidRPr="004648F2" w:rsidRDefault="00F669E4" w:rsidP="008D7E53">
            <w:pPr>
              <w:widowControl/>
              <w:rPr>
                <w:rFonts w:cs="Calibri"/>
                <w:sz w:val="19"/>
                <w:szCs w:val="19"/>
              </w:rPr>
            </w:pPr>
          </w:p>
          <w:p w:rsidR="001C191B" w:rsidRPr="004648F2" w:rsidRDefault="001C191B" w:rsidP="001C191B">
            <w:pPr>
              <w:rPr>
                <w:rFonts w:cs="Calibri"/>
                <w:sz w:val="19"/>
                <w:szCs w:val="19"/>
              </w:rPr>
            </w:pPr>
            <w:r w:rsidRPr="004648F2">
              <w:rPr>
                <w:rFonts w:asciiTheme="minorHAnsi" w:hAnsiTheme="minorHAnsi" w:cstheme="minorHAnsi"/>
                <w:sz w:val="19"/>
                <w:szCs w:val="19"/>
              </w:rPr>
              <w:t>Les activités de soutien et de supervision continues réalisées par l’organisme auprès des personnes placées et des familles hôtes contribuent à établir et à entretenir des relations durables</w:t>
            </w:r>
            <w:r w:rsidR="00B74868" w:rsidRPr="004648F2">
              <w:rPr>
                <w:rFonts w:asciiTheme="minorHAnsi" w:hAnsiTheme="minorHAnsi" w:cstheme="minorHAnsi"/>
                <w:sz w:val="19"/>
                <w:szCs w:val="19"/>
              </w:rPr>
              <w:t xml:space="preserve">. </w:t>
            </w:r>
            <w:r w:rsidRPr="004648F2">
              <w:rPr>
                <w:rFonts w:asciiTheme="minorHAnsi" w:hAnsiTheme="minorHAnsi" w:cstheme="minorHAnsi"/>
                <w:sz w:val="19"/>
                <w:szCs w:val="19"/>
              </w:rPr>
              <w:t>Elles permettent également de promouvoir et de garantir le bien-être de toutes les personnes participant au placement en famille hôte.</w:t>
            </w:r>
          </w:p>
          <w:p w:rsidR="007556B2" w:rsidRPr="004648F2" w:rsidRDefault="007556B2" w:rsidP="008D7E53">
            <w:pPr>
              <w:widowControl/>
              <w:rPr>
                <w:rFonts w:cs="Calibri"/>
                <w:sz w:val="19"/>
                <w:szCs w:val="19"/>
              </w:rPr>
            </w:pPr>
          </w:p>
          <w:p w:rsidR="001C191B" w:rsidRPr="004648F2" w:rsidRDefault="001C191B" w:rsidP="008D7E53">
            <w:pPr>
              <w:widowControl/>
              <w:rPr>
                <w:rFonts w:cs="Calibri"/>
                <w:sz w:val="19"/>
                <w:szCs w:val="19"/>
              </w:rPr>
            </w:pPr>
            <w:r w:rsidRPr="004648F2">
              <w:rPr>
                <w:sz w:val="19"/>
                <w:szCs w:val="19"/>
              </w:rPr>
              <w:t>Il est important que l’organisme envisage et planifie les événements susceptibles d’influer sur le placement au sein de la famille hôte, en s’attachant à déterminer si, en raison d’un changement de situation, la famille hôte ne peut plus continuer de remplir son rôle de fournisseur principal de soins.</w:t>
            </w:r>
          </w:p>
          <w:p w:rsidR="001C191B" w:rsidRPr="004648F2" w:rsidRDefault="001C191B" w:rsidP="008D7E53">
            <w:pPr>
              <w:widowControl/>
              <w:rPr>
                <w:rFonts w:cs="Calibri"/>
                <w:sz w:val="19"/>
                <w:szCs w:val="19"/>
              </w:rPr>
            </w:pPr>
          </w:p>
          <w:p w:rsidR="007556B2" w:rsidRPr="004648F2" w:rsidRDefault="007556B2" w:rsidP="008D7E53">
            <w:pPr>
              <w:widowControl/>
              <w:rPr>
                <w:rFonts w:cs="Calibri"/>
                <w:sz w:val="19"/>
                <w:szCs w:val="19"/>
              </w:rPr>
            </w:pPr>
            <w:r w:rsidRPr="004648F2">
              <w:rPr>
                <w:sz w:val="19"/>
                <w:szCs w:val="19"/>
              </w:rPr>
              <w:t>Peuvent notamment survenir les situations suivantes :</w:t>
            </w:r>
          </w:p>
          <w:p w:rsidR="007556B2" w:rsidRPr="004648F2" w:rsidRDefault="007556B2" w:rsidP="007556B2">
            <w:pPr>
              <w:pStyle w:val="NoSpacing"/>
              <w:numPr>
                <w:ilvl w:val="0"/>
                <w:numId w:val="12"/>
              </w:numPr>
              <w:rPr>
                <w:rFonts w:ascii="Calibri" w:hAnsi="Calibri" w:cs="Calibri"/>
                <w:sz w:val="19"/>
                <w:szCs w:val="19"/>
              </w:rPr>
            </w:pPr>
            <w:r w:rsidRPr="004648F2">
              <w:rPr>
                <w:rFonts w:ascii="Calibri" w:hAnsi="Calibri"/>
                <w:sz w:val="19"/>
                <w:szCs w:val="19"/>
              </w:rPr>
              <w:t>la détérioration de l’état de santé ou le décès d’un membre de la famille hôte;</w:t>
            </w:r>
          </w:p>
          <w:p w:rsidR="007556B2" w:rsidRPr="004648F2" w:rsidRDefault="007556B2" w:rsidP="007556B2">
            <w:pPr>
              <w:pStyle w:val="NoSpacing"/>
              <w:numPr>
                <w:ilvl w:val="0"/>
                <w:numId w:val="12"/>
              </w:numPr>
              <w:rPr>
                <w:rFonts w:ascii="Calibri" w:hAnsi="Calibri" w:cs="Calibri"/>
                <w:sz w:val="19"/>
                <w:szCs w:val="19"/>
              </w:rPr>
            </w:pPr>
            <w:r w:rsidRPr="004648F2">
              <w:rPr>
                <w:rFonts w:ascii="Calibri" w:hAnsi="Calibri"/>
                <w:sz w:val="19"/>
                <w:szCs w:val="19"/>
              </w:rPr>
              <w:t>la détérioration de la situation financière de la famille hôte (p. ex. perte de revenu);</w:t>
            </w:r>
          </w:p>
          <w:p w:rsidR="007556B2" w:rsidRPr="004648F2" w:rsidRDefault="00D332BD" w:rsidP="007556B2">
            <w:pPr>
              <w:pStyle w:val="NoSpacing"/>
              <w:numPr>
                <w:ilvl w:val="0"/>
                <w:numId w:val="12"/>
              </w:numPr>
              <w:rPr>
                <w:rFonts w:ascii="Calibri" w:hAnsi="Calibri" w:cs="Calibri"/>
                <w:sz w:val="19"/>
                <w:szCs w:val="19"/>
              </w:rPr>
            </w:pPr>
            <w:r>
              <w:rPr>
                <w:rFonts w:ascii="Calibri" w:hAnsi="Calibri"/>
                <w:sz w:val="19"/>
                <w:szCs w:val="19"/>
              </w:rPr>
              <w:t>un changement dans la</w:t>
            </w:r>
            <w:r w:rsidR="007556B2" w:rsidRPr="004648F2">
              <w:rPr>
                <w:rFonts w:ascii="Calibri" w:hAnsi="Calibri"/>
                <w:sz w:val="19"/>
                <w:szCs w:val="19"/>
              </w:rPr>
              <w:t xml:space="preserve"> situation de la personne placée (physique, psychologique, etc.);</w:t>
            </w:r>
          </w:p>
          <w:p w:rsidR="007556B2" w:rsidRPr="004648F2" w:rsidRDefault="007556B2" w:rsidP="007556B2">
            <w:pPr>
              <w:pStyle w:val="NoSpacing"/>
              <w:numPr>
                <w:ilvl w:val="0"/>
                <w:numId w:val="12"/>
              </w:numPr>
              <w:rPr>
                <w:rFonts w:ascii="Calibri" w:hAnsi="Calibri" w:cs="Calibri"/>
                <w:sz w:val="19"/>
                <w:szCs w:val="19"/>
              </w:rPr>
            </w:pPr>
            <w:r w:rsidRPr="004648F2">
              <w:rPr>
                <w:rFonts w:ascii="Calibri" w:hAnsi="Calibri"/>
                <w:sz w:val="19"/>
                <w:szCs w:val="19"/>
              </w:rPr>
              <w:t>la modification de la composition du ménage (inclusion de membres à temps plein ou à temps partiel);</w:t>
            </w:r>
          </w:p>
          <w:p w:rsidR="007556B2" w:rsidRDefault="007556B2" w:rsidP="004648F2">
            <w:pPr>
              <w:pStyle w:val="NoSpacing"/>
              <w:numPr>
                <w:ilvl w:val="0"/>
                <w:numId w:val="12"/>
              </w:numPr>
              <w:rPr>
                <w:rFonts w:cs="Calibri"/>
                <w:sz w:val="20"/>
                <w:szCs w:val="20"/>
              </w:rPr>
            </w:pPr>
            <w:r w:rsidRPr="004648F2">
              <w:rPr>
                <w:rFonts w:ascii="Calibri" w:hAnsi="Calibri"/>
                <w:sz w:val="19"/>
                <w:szCs w:val="19"/>
              </w:rPr>
              <w:t>un déménagement.</w:t>
            </w:r>
          </w:p>
        </w:tc>
        <w:tc>
          <w:tcPr>
            <w:tcW w:w="1080" w:type="dxa"/>
            <w:tcBorders>
              <w:top w:val="single" w:sz="4" w:space="0" w:color="000000"/>
              <w:left w:val="single" w:sz="4" w:space="0" w:color="auto"/>
              <w:bottom w:val="single" w:sz="4" w:space="0" w:color="000000"/>
              <w:right w:val="single" w:sz="4" w:space="0" w:color="000000"/>
            </w:tcBorders>
          </w:tcPr>
          <w:p w:rsidR="008D7E53" w:rsidRDefault="008D7E53" w:rsidP="000C524B">
            <w:pPr>
              <w:rPr>
                <w:rFonts w:cs="Calibri"/>
                <w:sz w:val="20"/>
                <w:szCs w:val="20"/>
              </w:rPr>
            </w:pPr>
          </w:p>
          <w:p w:rsidR="00F669E4" w:rsidRPr="0081122E" w:rsidRDefault="00B14788" w:rsidP="008D7E53">
            <w:pPr>
              <w:jc w:val="center"/>
              <w:rPr>
                <w:rFonts w:cs="Calibri"/>
                <w:sz w:val="20"/>
                <w:szCs w:val="20"/>
              </w:rPr>
            </w:pPr>
            <w:r>
              <w:rPr>
                <w:sz w:val="20"/>
              </w:rPr>
              <w:t>FAIBLE</w:t>
            </w:r>
          </w:p>
        </w:tc>
        <w:tc>
          <w:tcPr>
            <w:tcW w:w="2610" w:type="dxa"/>
            <w:tcBorders>
              <w:top w:val="single" w:sz="4" w:space="0" w:color="000000"/>
              <w:left w:val="single" w:sz="4" w:space="0" w:color="000000"/>
              <w:bottom w:val="single" w:sz="4" w:space="0" w:color="000000"/>
              <w:right w:val="single" w:sz="4" w:space="0" w:color="000000"/>
            </w:tcBorders>
          </w:tcPr>
          <w:p w:rsidR="008D7E53" w:rsidRDefault="008D7E53" w:rsidP="00F863EC">
            <w:pPr>
              <w:rPr>
                <w:rFonts w:cs="Calibri"/>
                <w:sz w:val="20"/>
                <w:szCs w:val="20"/>
              </w:rPr>
            </w:pPr>
          </w:p>
          <w:p w:rsidR="00F669E4" w:rsidRPr="0081122E" w:rsidRDefault="008D7E53" w:rsidP="00F863EC">
            <w:pPr>
              <w:rPr>
                <w:rFonts w:cs="Calibri"/>
                <w:sz w:val="20"/>
                <w:szCs w:val="20"/>
              </w:rPr>
            </w:pPr>
            <w:r>
              <w:rPr>
                <w:sz w:val="20"/>
              </w:rPr>
              <w:t xml:space="preserve">Les politiques et les consignes écrites de l’organisme de service prévoient le fait de collaborer avec la famille hôte et la personne placée si, en raison d’un changement de situation, la famille hôte ne peut plus continuer de remplir son rôle de fournisseur principal de soins. </w:t>
            </w:r>
          </w:p>
          <w:p w:rsidR="00F669E4" w:rsidRPr="0081122E" w:rsidRDefault="00F669E4" w:rsidP="00F863EC">
            <w:pPr>
              <w:rPr>
                <w:rFonts w:cs="Calibri"/>
                <w:sz w:val="20"/>
                <w:szCs w:val="20"/>
              </w:rPr>
            </w:pPr>
          </w:p>
        </w:tc>
        <w:tc>
          <w:tcPr>
            <w:tcW w:w="2056" w:type="dxa"/>
            <w:tcBorders>
              <w:top w:val="single" w:sz="4" w:space="0" w:color="000000"/>
              <w:left w:val="single" w:sz="4" w:space="0" w:color="000000"/>
              <w:bottom w:val="single" w:sz="4" w:space="0" w:color="000000"/>
              <w:right w:val="single" w:sz="4" w:space="0" w:color="000000"/>
            </w:tcBorders>
          </w:tcPr>
          <w:p w:rsidR="008D7E53" w:rsidRDefault="008D7E53" w:rsidP="00AB0457">
            <w:pPr>
              <w:rPr>
                <w:rFonts w:cs="Calibri"/>
                <w:sz w:val="20"/>
                <w:szCs w:val="20"/>
              </w:rPr>
            </w:pPr>
          </w:p>
          <w:p w:rsidR="00F669E4" w:rsidRPr="0081122E" w:rsidRDefault="00704F8A" w:rsidP="00AB0457">
            <w:pPr>
              <w:rPr>
                <w:rFonts w:cs="Calibri"/>
                <w:sz w:val="20"/>
                <w:szCs w:val="20"/>
              </w:rPr>
            </w:pPr>
            <w:r>
              <w:rPr>
                <w:sz w:val="20"/>
              </w:rPr>
              <w:t>Les politiques et les consignes relatives au soutien et à la supervision des familles hôtes ne prévoient pas le fait de collaborer avec la famille hôte et la personne placée si, en raison d’un changement de situation, la famille hôte ne peut plus continuer de remplir son rôle de fournisseur principal de soins.</w:t>
            </w:r>
          </w:p>
        </w:tc>
        <w:tc>
          <w:tcPr>
            <w:tcW w:w="2220" w:type="dxa"/>
            <w:tcBorders>
              <w:top w:val="single" w:sz="4" w:space="0" w:color="000000"/>
              <w:left w:val="single" w:sz="4" w:space="0" w:color="000000"/>
              <w:bottom w:val="single" w:sz="4" w:space="0" w:color="000000"/>
              <w:right w:val="single" w:sz="4" w:space="0" w:color="000000"/>
            </w:tcBorders>
          </w:tcPr>
          <w:p w:rsidR="008D7E53" w:rsidRDefault="008D7E53" w:rsidP="00AB0457">
            <w:pPr>
              <w:rPr>
                <w:rFonts w:cs="Calibri"/>
                <w:sz w:val="20"/>
                <w:szCs w:val="20"/>
              </w:rPr>
            </w:pPr>
          </w:p>
          <w:p w:rsidR="00F669E4" w:rsidRDefault="00F669E4" w:rsidP="00AB0457">
            <w:pPr>
              <w:rPr>
                <w:rFonts w:cs="Calibri"/>
                <w:sz w:val="20"/>
                <w:szCs w:val="20"/>
              </w:rPr>
            </w:pPr>
            <w:r>
              <w:rPr>
                <w:sz w:val="20"/>
              </w:rPr>
              <w:t>Politiques et consignes écrites finales/approuvées et datées.</w:t>
            </w:r>
          </w:p>
        </w:tc>
      </w:tr>
      <w:tr w:rsidR="00F669E4" w:rsidRPr="0081122E" w:rsidTr="00637B60">
        <w:trPr>
          <w:trHeight w:hRule="exact" w:val="763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B38FA" w:rsidRDefault="005B38FA" w:rsidP="005B38FA">
            <w:pPr>
              <w:rPr>
                <w:sz w:val="20"/>
                <w:szCs w:val="20"/>
              </w:rPr>
            </w:pPr>
          </w:p>
          <w:p w:rsidR="00F669E4" w:rsidRPr="005B38FA" w:rsidRDefault="008D7E53" w:rsidP="005B38FA">
            <w:pPr>
              <w:rPr>
                <w:sz w:val="20"/>
                <w:szCs w:val="20"/>
              </w:rPr>
            </w:pPr>
            <w:r>
              <w:rPr>
                <w:sz w:val="20"/>
              </w:rPr>
              <w:t>75</w:t>
            </w:r>
            <w:r w:rsidR="00B74868">
              <w:rPr>
                <w:sz w:val="20"/>
              </w:rPr>
              <w:t xml:space="preserve">. </w:t>
            </w:r>
            <w:r>
              <w:rPr>
                <w:sz w:val="20"/>
              </w:rPr>
              <w:t>Soutien et supervision; déménagement hors du territoire de desserte</w:t>
            </w:r>
          </w:p>
          <w:p w:rsidR="008D7E53" w:rsidRPr="005B38FA" w:rsidRDefault="008D7E53" w:rsidP="005B38FA">
            <w:pPr>
              <w:rPr>
                <w:sz w:val="20"/>
                <w:szCs w:val="20"/>
              </w:rPr>
            </w:pPr>
          </w:p>
          <w:p w:rsidR="005B38FA" w:rsidRDefault="00704F8A" w:rsidP="005B38FA">
            <w:pPr>
              <w:rPr>
                <w:sz w:val="20"/>
                <w:szCs w:val="20"/>
              </w:rPr>
            </w:pPr>
            <w:r>
              <w:rPr>
                <w:sz w:val="20"/>
              </w:rPr>
              <w:t>Les organismes de service qui administrent le Programme de placement en famille hôte doivent établir des politiques et des consignes qui traitent du fait d’informer le ministère du cas de toute personne placée qui veut déménager avec sa famille hôte dans une autre collectivité se trouvant hors du territoire de desserte de l’organisme de service en Ontario. L’étude d’un tel transfert peut comprendre l’examen du choix de la personne placée ou d’un autre décideur, l’accessibilité et la disponibilité d’autres services communautaires, ainsi que la proximité de la famille naturelle de la personne placée</w:t>
            </w:r>
            <w:r w:rsidR="00B74868">
              <w:rPr>
                <w:sz w:val="20"/>
              </w:rPr>
              <w:t xml:space="preserve">. </w:t>
            </w:r>
          </w:p>
          <w:p w:rsidR="00704F8A" w:rsidRPr="005B38FA" w:rsidRDefault="00704F8A" w:rsidP="005B38FA">
            <w:pPr>
              <w:rPr>
                <w:sz w:val="20"/>
                <w:szCs w:val="20"/>
              </w:rPr>
            </w:pPr>
          </w:p>
          <w:p w:rsidR="00F669E4" w:rsidRPr="005B38FA" w:rsidRDefault="008D7E53" w:rsidP="005B38FA">
            <w:pPr>
              <w:rPr>
                <w:sz w:val="20"/>
                <w:szCs w:val="20"/>
              </w:rPr>
            </w:pPr>
            <w:r>
              <w:rPr>
                <w:sz w:val="20"/>
              </w:rPr>
              <w:t>Directives en matière de politique s’appliquant aux organismes de service en ce qui a trait au Programme de placement en famille hôte 3.1</w:t>
            </w:r>
          </w:p>
          <w:p w:rsidR="00F669E4" w:rsidRPr="0081122E" w:rsidRDefault="00F669E4" w:rsidP="00F71B89">
            <w:pPr>
              <w:widowControl/>
              <w:rPr>
                <w:rFonts w:cs="Calibri"/>
                <w:sz w:val="20"/>
                <w:szCs w:val="20"/>
              </w:rPr>
            </w:pPr>
          </w:p>
        </w:tc>
        <w:tc>
          <w:tcPr>
            <w:tcW w:w="3462" w:type="dxa"/>
            <w:tcBorders>
              <w:top w:val="single" w:sz="4" w:space="0" w:color="000000"/>
              <w:left w:val="single" w:sz="4" w:space="0" w:color="auto"/>
              <w:bottom w:val="single" w:sz="4" w:space="0" w:color="000000"/>
              <w:right w:val="single" w:sz="4" w:space="0" w:color="auto"/>
            </w:tcBorders>
          </w:tcPr>
          <w:p w:rsidR="00F669E4" w:rsidRDefault="00F669E4" w:rsidP="005B38FA">
            <w:pPr>
              <w:widowControl/>
              <w:rPr>
                <w:rFonts w:cs="Calibri"/>
                <w:sz w:val="20"/>
                <w:szCs w:val="20"/>
              </w:rPr>
            </w:pPr>
          </w:p>
          <w:p w:rsidR="001C191B" w:rsidRDefault="001C191B" w:rsidP="001C191B">
            <w:pPr>
              <w:rPr>
                <w:rFonts w:cs="Calibri"/>
                <w:sz w:val="20"/>
                <w:szCs w:val="20"/>
              </w:rPr>
            </w:pPr>
            <w:r>
              <w:rPr>
                <w:rFonts w:asciiTheme="minorHAnsi" w:hAnsiTheme="minorHAnsi" w:cstheme="minorHAnsi"/>
                <w:sz w:val="20"/>
              </w:rPr>
              <w:t>Les activités de soutien et de supervision continues réalisées par l’organisme auprès des personnes placées et des familles hôtes contribuent à établir et à entretenir des relations durables</w:t>
            </w:r>
            <w:r w:rsidR="00B74868">
              <w:rPr>
                <w:rFonts w:asciiTheme="minorHAnsi" w:hAnsiTheme="minorHAnsi" w:cstheme="minorHAnsi"/>
                <w:sz w:val="20"/>
              </w:rPr>
              <w:t xml:space="preserve">. </w:t>
            </w:r>
            <w:r>
              <w:rPr>
                <w:rFonts w:asciiTheme="minorHAnsi" w:hAnsiTheme="minorHAnsi" w:cstheme="minorHAnsi"/>
                <w:sz w:val="20"/>
              </w:rPr>
              <w:t>Elles permettent également de promouvoir et de garantir le bien-être de toutes les personnes participant au placement en famille hôte.</w:t>
            </w:r>
          </w:p>
          <w:p w:rsidR="000A510A" w:rsidRDefault="000A510A" w:rsidP="005B38FA">
            <w:pPr>
              <w:widowControl/>
              <w:rPr>
                <w:rFonts w:cs="Calibri"/>
                <w:sz w:val="20"/>
                <w:szCs w:val="20"/>
              </w:rPr>
            </w:pPr>
          </w:p>
          <w:p w:rsidR="001C191B" w:rsidRDefault="001C191B" w:rsidP="001C191B">
            <w:pPr>
              <w:widowControl/>
              <w:rPr>
                <w:rFonts w:cs="Calibri"/>
                <w:sz w:val="20"/>
                <w:szCs w:val="20"/>
              </w:rPr>
            </w:pPr>
            <w:r>
              <w:rPr>
                <w:sz w:val="20"/>
              </w:rPr>
              <w:t>Il est important que l’organisme examine et planifie les événements susceptibles d’influer sur le placement en famille hôte.</w:t>
            </w:r>
          </w:p>
        </w:tc>
        <w:tc>
          <w:tcPr>
            <w:tcW w:w="1080" w:type="dxa"/>
            <w:tcBorders>
              <w:top w:val="single" w:sz="4" w:space="0" w:color="000000"/>
              <w:left w:val="single" w:sz="4" w:space="0" w:color="auto"/>
              <w:bottom w:val="single" w:sz="4" w:space="0" w:color="000000"/>
              <w:right w:val="single" w:sz="4" w:space="0" w:color="000000"/>
            </w:tcBorders>
          </w:tcPr>
          <w:p w:rsidR="005B38FA" w:rsidRDefault="005B38FA" w:rsidP="000C524B">
            <w:pPr>
              <w:rPr>
                <w:rFonts w:cs="Calibri"/>
                <w:sz w:val="20"/>
                <w:szCs w:val="20"/>
              </w:rPr>
            </w:pPr>
          </w:p>
          <w:p w:rsidR="00F669E4" w:rsidRPr="0081122E" w:rsidRDefault="00B14788" w:rsidP="005B38FA">
            <w:pPr>
              <w:jc w:val="center"/>
              <w:rPr>
                <w:rFonts w:cs="Calibri"/>
                <w:sz w:val="20"/>
                <w:szCs w:val="20"/>
              </w:rPr>
            </w:pPr>
            <w:r>
              <w:rPr>
                <w:sz w:val="20"/>
              </w:rPr>
              <w:t>FAIBLE</w:t>
            </w:r>
          </w:p>
        </w:tc>
        <w:tc>
          <w:tcPr>
            <w:tcW w:w="2610" w:type="dxa"/>
            <w:tcBorders>
              <w:top w:val="single" w:sz="4" w:space="0" w:color="000000"/>
              <w:left w:val="single" w:sz="4" w:space="0" w:color="000000"/>
              <w:bottom w:val="single" w:sz="4" w:space="0" w:color="000000"/>
              <w:right w:val="single" w:sz="4" w:space="0" w:color="000000"/>
            </w:tcBorders>
          </w:tcPr>
          <w:p w:rsidR="005B38FA" w:rsidRDefault="005B38FA" w:rsidP="006E6434">
            <w:pPr>
              <w:rPr>
                <w:rFonts w:cs="Calibri"/>
                <w:sz w:val="20"/>
                <w:szCs w:val="20"/>
              </w:rPr>
            </w:pPr>
          </w:p>
          <w:p w:rsidR="00F669E4" w:rsidRPr="0081122E" w:rsidRDefault="005B38FA" w:rsidP="006E6434">
            <w:pPr>
              <w:rPr>
                <w:rFonts w:cs="Calibri"/>
                <w:sz w:val="20"/>
                <w:szCs w:val="20"/>
              </w:rPr>
            </w:pPr>
            <w:r>
              <w:rPr>
                <w:sz w:val="20"/>
              </w:rPr>
              <w:t>Les politiques et les consignes écrites de l’organisme de service prévoient le fait d’informer le ministère du cas de toute personne placée qui veut déménager avec sa famille hôte dans une autre collectivité se trouvant hors du territoire de desserte de l’organisme de service en Ontario. L’étude d’un tel transfert peut comprendre l’examen du choix de la personne placée ou d’un autre décideur, l’accessibilité et la disponibilité d’autres services communautaires, ainsi que la proximité de la famille naturelle de la personne placée</w:t>
            </w:r>
            <w:r w:rsidR="00B74868">
              <w:rPr>
                <w:sz w:val="20"/>
              </w:rPr>
              <w:t xml:space="preserve">. </w:t>
            </w:r>
          </w:p>
          <w:p w:rsidR="00F669E4" w:rsidRPr="0081122E" w:rsidRDefault="00F669E4" w:rsidP="006E6434">
            <w:pPr>
              <w:rPr>
                <w:rFonts w:cs="Calibri"/>
                <w:sz w:val="20"/>
                <w:szCs w:val="20"/>
              </w:rPr>
            </w:pPr>
          </w:p>
        </w:tc>
        <w:tc>
          <w:tcPr>
            <w:tcW w:w="2056" w:type="dxa"/>
            <w:tcBorders>
              <w:top w:val="single" w:sz="4" w:space="0" w:color="000000"/>
              <w:left w:val="single" w:sz="4" w:space="0" w:color="000000"/>
              <w:bottom w:val="single" w:sz="4" w:space="0" w:color="000000"/>
              <w:right w:val="single" w:sz="4" w:space="0" w:color="000000"/>
            </w:tcBorders>
          </w:tcPr>
          <w:p w:rsidR="005B38FA" w:rsidRDefault="005B38FA" w:rsidP="00AB0457">
            <w:pPr>
              <w:rPr>
                <w:rFonts w:cs="Calibri"/>
                <w:sz w:val="20"/>
                <w:szCs w:val="20"/>
              </w:rPr>
            </w:pPr>
          </w:p>
          <w:p w:rsidR="00F669E4" w:rsidRPr="0081122E" w:rsidRDefault="004374F0" w:rsidP="00AB0457">
            <w:pPr>
              <w:rPr>
                <w:rFonts w:cs="Calibri"/>
                <w:sz w:val="20"/>
                <w:szCs w:val="20"/>
              </w:rPr>
            </w:pPr>
            <w:r>
              <w:rPr>
                <w:sz w:val="20"/>
              </w:rPr>
              <w:t>Les politiques et les consignes relatives au soutien et à la supervision des familles hôtes ne prévoient pas le fait d’informer le ministère du cas de toute personne placée qui veut déménager avec sa famille hôte dans une autre collectivité se trouvant hors du territoire de desserte de l’organisme de service en Ontario. L’étude d’un tel transfert peut comprendre l’examen du choix de la personne placée ou d’un autre décideur, l’accessibilité et la disponibilité d’autres services communautaires, ainsi que la proximité de la famille naturelle de la personne placée</w:t>
            </w:r>
            <w:r w:rsidR="00B74868">
              <w:rPr>
                <w:sz w:val="20"/>
              </w:rPr>
              <w:t xml:space="preserve">. </w:t>
            </w:r>
          </w:p>
        </w:tc>
        <w:tc>
          <w:tcPr>
            <w:tcW w:w="2220" w:type="dxa"/>
            <w:tcBorders>
              <w:top w:val="single" w:sz="4" w:space="0" w:color="000000"/>
              <w:left w:val="single" w:sz="4" w:space="0" w:color="000000"/>
              <w:bottom w:val="single" w:sz="4" w:space="0" w:color="000000"/>
              <w:right w:val="single" w:sz="4" w:space="0" w:color="000000"/>
            </w:tcBorders>
          </w:tcPr>
          <w:p w:rsidR="005B38FA" w:rsidRDefault="005B38FA" w:rsidP="00AB0457">
            <w:pPr>
              <w:rPr>
                <w:rFonts w:cs="Calibri"/>
                <w:sz w:val="20"/>
                <w:szCs w:val="20"/>
              </w:rPr>
            </w:pPr>
          </w:p>
          <w:p w:rsidR="00F669E4" w:rsidRDefault="00F669E4" w:rsidP="00AB0457">
            <w:pPr>
              <w:rPr>
                <w:rFonts w:cs="Calibri"/>
                <w:sz w:val="20"/>
                <w:szCs w:val="20"/>
              </w:rPr>
            </w:pPr>
            <w:r>
              <w:rPr>
                <w:sz w:val="20"/>
              </w:rPr>
              <w:t>Politiques et consignes écrites finales/approuvées et datées.</w:t>
            </w:r>
          </w:p>
        </w:tc>
      </w:tr>
      <w:tr w:rsidR="00F669E4" w:rsidRPr="0081122E" w:rsidTr="00637B60">
        <w:trPr>
          <w:trHeight w:hRule="exact" w:val="787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85169" w:rsidRDefault="00585169" w:rsidP="00585169">
            <w:pPr>
              <w:rPr>
                <w:sz w:val="20"/>
                <w:szCs w:val="20"/>
              </w:rPr>
            </w:pPr>
          </w:p>
          <w:p w:rsidR="00F669E4" w:rsidRPr="00585169" w:rsidRDefault="005B38FA" w:rsidP="00585169">
            <w:pPr>
              <w:rPr>
                <w:sz w:val="20"/>
                <w:szCs w:val="20"/>
              </w:rPr>
            </w:pPr>
            <w:r>
              <w:rPr>
                <w:sz w:val="20"/>
              </w:rPr>
              <w:t>76</w:t>
            </w:r>
            <w:r w:rsidR="00B74868">
              <w:rPr>
                <w:sz w:val="20"/>
              </w:rPr>
              <w:t xml:space="preserve">. </w:t>
            </w:r>
            <w:r>
              <w:rPr>
                <w:sz w:val="20"/>
              </w:rPr>
              <w:t>Surveillance de la sécurité personnelle; vérification matérielle</w:t>
            </w:r>
          </w:p>
          <w:p w:rsidR="005B38FA" w:rsidRPr="00585169" w:rsidRDefault="005B38FA" w:rsidP="00585169">
            <w:pPr>
              <w:rPr>
                <w:sz w:val="20"/>
                <w:szCs w:val="20"/>
              </w:rPr>
            </w:pPr>
          </w:p>
          <w:p w:rsidR="00585169" w:rsidRDefault="00AC3595" w:rsidP="00585169">
            <w:pPr>
              <w:rPr>
                <w:sz w:val="20"/>
                <w:szCs w:val="20"/>
              </w:rPr>
            </w:pPr>
            <w:r>
              <w:rPr>
                <w:sz w:val="20"/>
              </w:rPr>
              <w:t xml:space="preserve">Les organismes de service doivent établir des politiques et des consignes qui régissent la surveillance de la sécurité des personnes recevant des soutiens et des services dans le cadre du Programme de placement en famille hôte et qui prévoient, à tout le moins, le fait d’effectuer une vérification matérielle de la résidence et du terrain afin de s’assurer que le milieu de vie de la personne placée est propre et sécuritaire. </w:t>
            </w:r>
          </w:p>
          <w:p w:rsidR="004374F0" w:rsidRDefault="004374F0" w:rsidP="00585169">
            <w:pPr>
              <w:rPr>
                <w:sz w:val="20"/>
                <w:szCs w:val="20"/>
              </w:rPr>
            </w:pPr>
          </w:p>
          <w:p w:rsidR="00F669E4" w:rsidRPr="0081122E" w:rsidRDefault="00585169" w:rsidP="00585169">
            <w:r>
              <w:rPr>
                <w:sz w:val="20"/>
              </w:rPr>
              <w:t>Directives en matière de politique s’appliquant aux organismes de service en ce qui a trait au Programme de placement en famille hôte 3.2</w:t>
            </w:r>
          </w:p>
        </w:tc>
        <w:tc>
          <w:tcPr>
            <w:tcW w:w="3462" w:type="dxa"/>
            <w:tcBorders>
              <w:top w:val="single" w:sz="4" w:space="0" w:color="000000"/>
              <w:left w:val="single" w:sz="4" w:space="0" w:color="auto"/>
              <w:bottom w:val="single" w:sz="4" w:space="0" w:color="000000"/>
              <w:right w:val="single" w:sz="4" w:space="0" w:color="auto"/>
            </w:tcBorders>
          </w:tcPr>
          <w:p w:rsidR="00F669E4" w:rsidRDefault="00F669E4" w:rsidP="00AB0457">
            <w:pPr>
              <w:rPr>
                <w:rFonts w:cs="Calibri"/>
                <w:sz w:val="20"/>
                <w:szCs w:val="20"/>
              </w:rPr>
            </w:pPr>
          </w:p>
          <w:p w:rsidR="000A510A" w:rsidRDefault="00FB3DA3">
            <w:pPr>
              <w:rPr>
                <w:rFonts w:cs="Calibri"/>
                <w:sz w:val="20"/>
                <w:szCs w:val="20"/>
              </w:rPr>
            </w:pPr>
            <w:r>
              <w:rPr>
                <w:sz w:val="20"/>
              </w:rPr>
              <w:t>Les activités continues de soutien et de supervision des placements au sein de familles hôtes doivent promouvoir la sécurité de la personne placée. Il convient notamment de vérifier si la résidence de la famille hôte et le milieu de vie de la personne placée sont bien entretenus, propres et sans désordre.</w:t>
            </w:r>
          </w:p>
        </w:tc>
        <w:tc>
          <w:tcPr>
            <w:tcW w:w="1080" w:type="dxa"/>
            <w:tcBorders>
              <w:top w:val="single" w:sz="4" w:space="0" w:color="000000"/>
              <w:left w:val="single" w:sz="4" w:space="0" w:color="auto"/>
              <w:bottom w:val="single" w:sz="4" w:space="0" w:color="000000"/>
              <w:right w:val="single" w:sz="4" w:space="0" w:color="000000"/>
            </w:tcBorders>
          </w:tcPr>
          <w:p w:rsidR="00585169" w:rsidRDefault="00585169" w:rsidP="000C524B">
            <w:pPr>
              <w:rPr>
                <w:rFonts w:cs="Calibri"/>
                <w:sz w:val="20"/>
                <w:szCs w:val="20"/>
              </w:rPr>
            </w:pPr>
          </w:p>
          <w:p w:rsidR="00F669E4" w:rsidRPr="0081122E" w:rsidRDefault="00B14788" w:rsidP="00585169">
            <w:pPr>
              <w:jc w:val="center"/>
              <w:rPr>
                <w:rFonts w:cs="Calibri"/>
                <w:sz w:val="20"/>
                <w:szCs w:val="20"/>
              </w:rPr>
            </w:pPr>
            <w:r>
              <w:rPr>
                <w:sz w:val="20"/>
              </w:rPr>
              <w:t>FAIBLE</w:t>
            </w:r>
          </w:p>
        </w:tc>
        <w:tc>
          <w:tcPr>
            <w:tcW w:w="2610" w:type="dxa"/>
            <w:tcBorders>
              <w:top w:val="single" w:sz="4" w:space="0" w:color="000000"/>
              <w:left w:val="single" w:sz="4" w:space="0" w:color="000000"/>
              <w:bottom w:val="single" w:sz="4" w:space="0" w:color="000000"/>
              <w:right w:val="single" w:sz="4" w:space="0" w:color="000000"/>
            </w:tcBorders>
          </w:tcPr>
          <w:p w:rsidR="00585169" w:rsidRDefault="00585169" w:rsidP="00F863EC">
            <w:pPr>
              <w:rPr>
                <w:rFonts w:cs="Calibri"/>
                <w:sz w:val="20"/>
                <w:szCs w:val="20"/>
              </w:rPr>
            </w:pPr>
          </w:p>
          <w:p w:rsidR="00F669E4" w:rsidRPr="0081122E" w:rsidRDefault="00585169" w:rsidP="00F863EC">
            <w:pPr>
              <w:rPr>
                <w:rFonts w:cs="Calibri"/>
                <w:sz w:val="20"/>
                <w:szCs w:val="20"/>
              </w:rPr>
            </w:pPr>
            <w:r>
              <w:rPr>
                <w:sz w:val="20"/>
              </w:rPr>
              <w:t xml:space="preserve">Les politiques et les consignes écrites de l’organisme de service prévoient le fait de surveiller la sécurité des personnes recevant des soutiens et des services dans le cadre du Programme de placement en famille hôte et notamment d’effectuer une vérification matérielle de la résidence et du terrain. </w:t>
            </w:r>
          </w:p>
          <w:p w:rsidR="00F669E4" w:rsidRPr="0081122E" w:rsidRDefault="00F669E4" w:rsidP="00F863EC">
            <w:pPr>
              <w:rPr>
                <w:rFonts w:cs="Calibri"/>
                <w:sz w:val="20"/>
                <w:szCs w:val="20"/>
              </w:rPr>
            </w:pPr>
          </w:p>
        </w:tc>
        <w:tc>
          <w:tcPr>
            <w:tcW w:w="2056" w:type="dxa"/>
            <w:tcBorders>
              <w:top w:val="single" w:sz="4" w:space="0" w:color="000000"/>
              <w:left w:val="single" w:sz="4" w:space="0" w:color="000000"/>
              <w:bottom w:val="single" w:sz="4" w:space="0" w:color="000000"/>
              <w:right w:val="single" w:sz="4" w:space="0" w:color="000000"/>
            </w:tcBorders>
          </w:tcPr>
          <w:p w:rsidR="00585169" w:rsidRDefault="00585169" w:rsidP="00026E0F">
            <w:pPr>
              <w:rPr>
                <w:rFonts w:cs="Calibri"/>
                <w:sz w:val="20"/>
                <w:szCs w:val="20"/>
              </w:rPr>
            </w:pPr>
          </w:p>
          <w:p w:rsidR="00F35361" w:rsidRDefault="00F35361" w:rsidP="00F35361">
            <w:pPr>
              <w:rPr>
                <w:sz w:val="20"/>
                <w:szCs w:val="20"/>
              </w:rPr>
            </w:pPr>
            <w:r>
              <w:rPr>
                <w:sz w:val="20"/>
              </w:rPr>
              <w:t xml:space="preserve">Les politiques et les consignes régissant la surveillance de la sécurité des personnes recevant des soutiens et des services dans le cadre du Programme de placement en famille hôte ne prévoient pas le fait d’effectuer une vérification matérielle de la résidence et du terrain afin de s’assurer que le milieu de vie de la personne placée est propre et sécuritaire. </w:t>
            </w:r>
          </w:p>
          <w:p w:rsidR="00F669E4" w:rsidRPr="0081122E" w:rsidRDefault="00F669E4" w:rsidP="00026E0F">
            <w:pPr>
              <w:rPr>
                <w:rFonts w:cs="Calibri"/>
                <w:sz w:val="20"/>
                <w:szCs w:val="20"/>
              </w:rPr>
            </w:pPr>
          </w:p>
        </w:tc>
        <w:tc>
          <w:tcPr>
            <w:tcW w:w="2220" w:type="dxa"/>
            <w:tcBorders>
              <w:top w:val="single" w:sz="4" w:space="0" w:color="000000"/>
              <w:left w:val="single" w:sz="4" w:space="0" w:color="000000"/>
              <w:bottom w:val="single" w:sz="4" w:space="0" w:color="000000"/>
              <w:right w:val="single" w:sz="4" w:space="0" w:color="000000"/>
            </w:tcBorders>
          </w:tcPr>
          <w:p w:rsidR="00585169" w:rsidRDefault="00585169" w:rsidP="00026E0F">
            <w:pPr>
              <w:rPr>
                <w:rFonts w:cs="Calibri"/>
                <w:sz w:val="20"/>
                <w:szCs w:val="20"/>
              </w:rPr>
            </w:pPr>
          </w:p>
          <w:p w:rsidR="00F669E4" w:rsidRDefault="00F669E4" w:rsidP="00026E0F">
            <w:pPr>
              <w:rPr>
                <w:rFonts w:cs="Calibri"/>
                <w:sz w:val="20"/>
                <w:szCs w:val="20"/>
              </w:rPr>
            </w:pPr>
            <w:r>
              <w:rPr>
                <w:sz w:val="20"/>
              </w:rPr>
              <w:t>Politiques et consignes écrites finales/approuvées et datées.</w:t>
            </w:r>
          </w:p>
        </w:tc>
      </w:tr>
      <w:tr w:rsidR="00016103" w:rsidRPr="0081122E" w:rsidTr="00637B60">
        <w:trPr>
          <w:trHeight w:hRule="exact" w:val="787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016103" w:rsidRDefault="00016103" w:rsidP="00026E0F">
            <w:pPr>
              <w:pStyle w:val="TableParagraph"/>
              <w:spacing w:before="7" w:line="190" w:lineRule="exact"/>
              <w:rPr>
                <w:rFonts w:cs="Calibri"/>
                <w:sz w:val="20"/>
                <w:szCs w:val="20"/>
              </w:rPr>
            </w:pPr>
          </w:p>
          <w:p w:rsidR="00016103" w:rsidRDefault="00016103" w:rsidP="00026E0F">
            <w:pPr>
              <w:pStyle w:val="TableParagraph"/>
              <w:spacing w:before="7" w:line="190" w:lineRule="exact"/>
              <w:rPr>
                <w:rFonts w:cs="Calibri"/>
                <w:sz w:val="20"/>
                <w:szCs w:val="20"/>
              </w:rPr>
            </w:pPr>
            <w:r>
              <w:rPr>
                <w:sz w:val="20"/>
              </w:rPr>
              <w:t>77</w:t>
            </w:r>
            <w:r w:rsidR="00B74868">
              <w:rPr>
                <w:sz w:val="20"/>
              </w:rPr>
              <w:t xml:space="preserve">. </w:t>
            </w:r>
            <w:r>
              <w:rPr>
                <w:sz w:val="20"/>
              </w:rPr>
              <w:t>Surveillance de la sécurité personnelle; exigences de sécurité</w:t>
            </w:r>
          </w:p>
          <w:p w:rsidR="00016103" w:rsidRPr="0081122E" w:rsidRDefault="00016103" w:rsidP="00026E0F">
            <w:pPr>
              <w:pStyle w:val="TableParagraph"/>
              <w:spacing w:before="7" w:line="190" w:lineRule="exact"/>
              <w:rPr>
                <w:rFonts w:cs="Calibri"/>
                <w:sz w:val="20"/>
                <w:szCs w:val="20"/>
              </w:rPr>
            </w:pPr>
          </w:p>
          <w:p w:rsidR="00016103" w:rsidRDefault="00AC3595" w:rsidP="00026E0F">
            <w:pPr>
              <w:pStyle w:val="TableParagraph"/>
              <w:spacing w:before="48"/>
              <w:rPr>
                <w:rFonts w:cs="Calibri"/>
                <w:sz w:val="20"/>
                <w:szCs w:val="20"/>
              </w:rPr>
            </w:pPr>
            <w:r>
              <w:rPr>
                <w:sz w:val="20"/>
              </w:rPr>
              <w:t xml:space="preserve">Les organismes de service doivent établir des politiques et des consignes qui régissent la surveillance de la sécurité des personnes recevant des soutiens et des services dans le cadre du Programme de placement en famille hôte et qui prévoient, à tout le moins, le fait de contrôler l’application des exigences liées à la sécurité-incendie, à la prévention des risques pour la santé et à l’évaluation de la qualité de l’eau, le cas échéant, dans la résidence de la famille hôte et, à cette fin, de faire appel à d’autres représentants ou professionnels selon le besoin. </w:t>
            </w:r>
          </w:p>
          <w:p w:rsidR="00016103" w:rsidRDefault="00016103" w:rsidP="00026E0F">
            <w:pPr>
              <w:pStyle w:val="TableParagraph"/>
              <w:spacing w:before="48"/>
              <w:rPr>
                <w:rFonts w:cs="Calibri"/>
                <w:sz w:val="20"/>
                <w:szCs w:val="20"/>
              </w:rPr>
            </w:pPr>
          </w:p>
          <w:p w:rsidR="00016103" w:rsidRPr="0081122E" w:rsidRDefault="00016103" w:rsidP="00026E0F">
            <w:pPr>
              <w:pStyle w:val="TableParagraph"/>
              <w:spacing w:before="48"/>
              <w:rPr>
                <w:rFonts w:cs="Calibri"/>
                <w:sz w:val="20"/>
                <w:szCs w:val="20"/>
              </w:rPr>
            </w:pPr>
            <w:r>
              <w:rPr>
                <w:sz w:val="20"/>
              </w:rPr>
              <w:t>Directives en matière de politique s’appliquant aux organismes de service en ce qui a trait au Programme de placement en famille hôte 3.2</w:t>
            </w:r>
          </w:p>
        </w:tc>
        <w:tc>
          <w:tcPr>
            <w:tcW w:w="3462" w:type="dxa"/>
            <w:tcBorders>
              <w:top w:val="single" w:sz="4" w:space="0" w:color="000000"/>
              <w:left w:val="single" w:sz="4" w:space="0" w:color="auto"/>
              <w:bottom w:val="single" w:sz="4" w:space="0" w:color="000000"/>
              <w:right w:val="single" w:sz="4" w:space="0" w:color="auto"/>
            </w:tcBorders>
          </w:tcPr>
          <w:p w:rsidR="00016103" w:rsidRDefault="00016103" w:rsidP="00D535C4">
            <w:pPr>
              <w:rPr>
                <w:rFonts w:cs="Calibri"/>
                <w:sz w:val="20"/>
                <w:szCs w:val="20"/>
              </w:rPr>
            </w:pPr>
          </w:p>
          <w:p w:rsidR="00FB3DA3" w:rsidRDefault="00FB3DA3" w:rsidP="00AB0457">
            <w:pPr>
              <w:rPr>
                <w:rFonts w:cs="Calibri"/>
                <w:sz w:val="20"/>
                <w:szCs w:val="20"/>
              </w:rPr>
            </w:pPr>
            <w:r>
              <w:rPr>
                <w:sz w:val="20"/>
              </w:rPr>
              <w:t>Les activités continues de soutien et de supervision des placements au sein de familles hôtes doivent promouvoir la sécurité de la personne placée.</w:t>
            </w:r>
          </w:p>
          <w:p w:rsidR="00FB3DA3" w:rsidRDefault="00FB3DA3" w:rsidP="00AB0457">
            <w:pPr>
              <w:rPr>
                <w:rFonts w:cs="Calibri"/>
                <w:sz w:val="20"/>
                <w:szCs w:val="20"/>
              </w:rPr>
            </w:pPr>
          </w:p>
          <w:p w:rsidR="00016103" w:rsidRDefault="00D66048" w:rsidP="00AB0457">
            <w:pPr>
              <w:rPr>
                <w:rFonts w:cs="Calibri"/>
                <w:sz w:val="20"/>
                <w:szCs w:val="20"/>
              </w:rPr>
            </w:pPr>
            <w:r>
              <w:rPr>
                <w:sz w:val="20"/>
              </w:rPr>
              <w:t xml:space="preserve">Il convient notamment de contrôler l’application des exigences liées à la sécurité-incendie, à la prévention des risques pour la santé et à l’évaluation de la qualité de l’eau, le cas échéant, dans la résidence de la famille hôte et, à cette fin, de faire appel à d’autres représentants ou professionnels selon le besoin. </w:t>
            </w:r>
          </w:p>
        </w:tc>
        <w:tc>
          <w:tcPr>
            <w:tcW w:w="1080" w:type="dxa"/>
            <w:tcBorders>
              <w:top w:val="single" w:sz="4" w:space="0" w:color="000000"/>
              <w:left w:val="single" w:sz="4" w:space="0" w:color="auto"/>
              <w:bottom w:val="single" w:sz="4" w:space="0" w:color="000000"/>
              <w:right w:val="single" w:sz="4" w:space="0" w:color="000000"/>
            </w:tcBorders>
          </w:tcPr>
          <w:p w:rsidR="00016103" w:rsidRDefault="00016103" w:rsidP="000C524B">
            <w:pPr>
              <w:rPr>
                <w:rFonts w:cs="Calibri"/>
                <w:sz w:val="20"/>
                <w:szCs w:val="20"/>
              </w:rPr>
            </w:pPr>
          </w:p>
          <w:p w:rsidR="00016103" w:rsidRPr="0081122E" w:rsidRDefault="00B14788" w:rsidP="00D969EA">
            <w:pPr>
              <w:jc w:val="center"/>
              <w:rPr>
                <w:rFonts w:cs="Calibri"/>
                <w:sz w:val="20"/>
                <w:szCs w:val="20"/>
              </w:rPr>
            </w:pPr>
            <w:r>
              <w:rPr>
                <w:sz w:val="20"/>
              </w:rPr>
              <w:t>FAIBLE</w:t>
            </w:r>
          </w:p>
        </w:tc>
        <w:tc>
          <w:tcPr>
            <w:tcW w:w="2610" w:type="dxa"/>
            <w:tcBorders>
              <w:top w:val="single" w:sz="4" w:space="0" w:color="000000"/>
              <w:left w:val="single" w:sz="4" w:space="0" w:color="000000"/>
              <w:bottom w:val="single" w:sz="4" w:space="0" w:color="000000"/>
              <w:right w:val="single" w:sz="4" w:space="0" w:color="000000"/>
            </w:tcBorders>
          </w:tcPr>
          <w:p w:rsidR="00016103" w:rsidRDefault="00016103" w:rsidP="00376959">
            <w:pPr>
              <w:rPr>
                <w:rFonts w:cs="Calibri"/>
                <w:sz w:val="20"/>
                <w:szCs w:val="20"/>
              </w:rPr>
            </w:pPr>
          </w:p>
          <w:p w:rsidR="00016103" w:rsidRPr="0081122E" w:rsidRDefault="00016103" w:rsidP="00376959">
            <w:pPr>
              <w:rPr>
                <w:rFonts w:cs="Calibri"/>
                <w:sz w:val="20"/>
                <w:szCs w:val="20"/>
              </w:rPr>
            </w:pPr>
            <w:r>
              <w:rPr>
                <w:sz w:val="20"/>
              </w:rPr>
              <w:t>Les politiques et les consignes écrites de l’organisme de service prévoient le fait de surveiller la sécurité des personnes et notamment de contrôler l’application des exigences liées à la sécurité-incendie, à la prévention des risques pour la santé et à l’évaluation de la qualité de l’eau, le cas échéant.</w:t>
            </w:r>
          </w:p>
          <w:p w:rsidR="00016103" w:rsidRPr="0081122E" w:rsidRDefault="00016103" w:rsidP="005600FE">
            <w:pPr>
              <w:rPr>
                <w:rFonts w:cs="Calibri"/>
                <w:sz w:val="20"/>
                <w:szCs w:val="20"/>
              </w:rPr>
            </w:pPr>
          </w:p>
        </w:tc>
        <w:tc>
          <w:tcPr>
            <w:tcW w:w="2056" w:type="dxa"/>
            <w:tcBorders>
              <w:top w:val="single" w:sz="4" w:space="0" w:color="000000"/>
              <w:left w:val="single" w:sz="4" w:space="0" w:color="000000"/>
              <w:bottom w:val="single" w:sz="4" w:space="0" w:color="000000"/>
              <w:right w:val="single" w:sz="4" w:space="0" w:color="000000"/>
            </w:tcBorders>
          </w:tcPr>
          <w:p w:rsidR="00016103" w:rsidRDefault="00016103" w:rsidP="00026E0F">
            <w:pPr>
              <w:rPr>
                <w:rFonts w:cs="Calibri"/>
                <w:sz w:val="20"/>
                <w:szCs w:val="20"/>
              </w:rPr>
            </w:pPr>
          </w:p>
          <w:p w:rsidR="0055482B" w:rsidRDefault="0055482B" w:rsidP="00026E0F">
            <w:pPr>
              <w:rPr>
                <w:rFonts w:cs="Calibri"/>
                <w:sz w:val="20"/>
                <w:szCs w:val="20"/>
              </w:rPr>
            </w:pPr>
            <w:r>
              <w:rPr>
                <w:sz w:val="20"/>
              </w:rPr>
              <w:t>Les politiques et les consignes régissant la surveillance de la sécurité des personnes recevant des soutiens et des services dans le cadre du Programme de placement en famille hôte ne prévoient pas le fait de contrôler l’application des exigences liées à la sécurité-incendie, à la prévention des risques pour la santé et à l’évaluation de la qualité de l’eau, le cas échéant</w:t>
            </w:r>
            <w:r w:rsidR="00E67072">
              <w:rPr>
                <w:sz w:val="20"/>
              </w:rPr>
              <w:t>,</w:t>
            </w:r>
            <w:r>
              <w:rPr>
                <w:sz w:val="20"/>
              </w:rPr>
              <w:t xml:space="preserve"> dans la résidence de la famille hôte et, à cette fin, de faire appel à d’autres représentants ou professionnels selon le besoin.</w:t>
            </w:r>
          </w:p>
          <w:p w:rsidR="0055482B" w:rsidRDefault="0055482B" w:rsidP="00026E0F">
            <w:pPr>
              <w:rPr>
                <w:rFonts w:cs="Calibri"/>
                <w:sz w:val="20"/>
                <w:szCs w:val="20"/>
              </w:rPr>
            </w:pPr>
          </w:p>
          <w:p w:rsidR="00016103" w:rsidRPr="0081122E" w:rsidRDefault="00016103" w:rsidP="00026E0F">
            <w:pPr>
              <w:rPr>
                <w:rFonts w:cs="Calibri"/>
                <w:sz w:val="20"/>
                <w:szCs w:val="20"/>
              </w:rPr>
            </w:pPr>
          </w:p>
        </w:tc>
        <w:tc>
          <w:tcPr>
            <w:tcW w:w="2220" w:type="dxa"/>
            <w:tcBorders>
              <w:top w:val="single" w:sz="4" w:space="0" w:color="000000"/>
              <w:left w:val="single" w:sz="4" w:space="0" w:color="000000"/>
              <w:bottom w:val="single" w:sz="4" w:space="0" w:color="000000"/>
              <w:right w:val="single" w:sz="4" w:space="0" w:color="000000"/>
            </w:tcBorders>
          </w:tcPr>
          <w:p w:rsidR="00016103" w:rsidRDefault="00016103" w:rsidP="00026E0F">
            <w:pPr>
              <w:rPr>
                <w:rFonts w:cs="Calibri"/>
                <w:sz w:val="20"/>
                <w:szCs w:val="20"/>
              </w:rPr>
            </w:pPr>
          </w:p>
          <w:p w:rsidR="00016103" w:rsidRDefault="00016103" w:rsidP="00026E0F">
            <w:pPr>
              <w:rPr>
                <w:rFonts w:cs="Calibri"/>
                <w:sz w:val="20"/>
                <w:szCs w:val="20"/>
              </w:rPr>
            </w:pPr>
            <w:r>
              <w:rPr>
                <w:sz w:val="20"/>
              </w:rPr>
              <w:t>Politiques et consignes écrites finales/approuvées et datées.</w:t>
            </w:r>
          </w:p>
        </w:tc>
      </w:tr>
      <w:tr w:rsidR="00016103" w:rsidRPr="0081122E" w:rsidTr="00637B60">
        <w:trPr>
          <w:trHeight w:hRule="exact" w:val="787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016103" w:rsidRPr="00376959" w:rsidRDefault="00016103" w:rsidP="00376959">
            <w:pPr>
              <w:rPr>
                <w:sz w:val="20"/>
                <w:szCs w:val="20"/>
              </w:rPr>
            </w:pPr>
          </w:p>
          <w:p w:rsidR="00016103" w:rsidRPr="00376959" w:rsidRDefault="00016103" w:rsidP="00376959">
            <w:pPr>
              <w:rPr>
                <w:sz w:val="20"/>
                <w:szCs w:val="20"/>
              </w:rPr>
            </w:pPr>
            <w:r>
              <w:rPr>
                <w:sz w:val="20"/>
              </w:rPr>
              <w:t>78</w:t>
            </w:r>
            <w:r w:rsidR="00B74868">
              <w:rPr>
                <w:sz w:val="20"/>
              </w:rPr>
              <w:t xml:space="preserve">. </w:t>
            </w:r>
            <w:r>
              <w:rPr>
                <w:sz w:val="20"/>
              </w:rPr>
              <w:t>Surveillance de la sécurité personnelle; résolution des problèmes</w:t>
            </w:r>
          </w:p>
          <w:p w:rsidR="00016103" w:rsidRPr="00376959" w:rsidRDefault="00016103" w:rsidP="00376959">
            <w:pPr>
              <w:rPr>
                <w:sz w:val="20"/>
                <w:szCs w:val="20"/>
              </w:rPr>
            </w:pPr>
          </w:p>
          <w:p w:rsidR="00016103" w:rsidRDefault="00016103" w:rsidP="00376959">
            <w:pPr>
              <w:rPr>
                <w:sz w:val="20"/>
                <w:szCs w:val="20"/>
              </w:rPr>
            </w:pPr>
            <w:r>
              <w:rPr>
                <w:sz w:val="20"/>
              </w:rPr>
              <w:t>Les organismes de service doivent établir des politiques et des consignes qui aideront à régler tout problème lié au placement.</w:t>
            </w:r>
          </w:p>
          <w:p w:rsidR="00016103" w:rsidRPr="00376959" w:rsidRDefault="00016103" w:rsidP="00376959">
            <w:pPr>
              <w:rPr>
                <w:sz w:val="20"/>
                <w:szCs w:val="20"/>
              </w:rPr>
            </w:pPr>
          </w:p>
          <w:p w:rsidR="00016103" w:rsidRPr="0081122E" w:rsidRDefault="00016103" w:rsidP="00376959">
            <w:r>
              <w:rPr>
                <w:sz w:val="20"/>
              </w:rPr>
              <w:t>Directives en matière de politique s’appliquant aux organismes de service en ce qui a trait au Programme de placement en famille hôte 3.2</w:t>
            </w:r>
          </w:p>
        </w:tc>
        <w:tc>
          <w:tcPr>
            <w:tcW w:w="3462" w:type="dxa"/>
            <w:tcBorders>
              <w:top w:val="single" w:sz="4" w:space="0" w:color="000000"/>
              <w:left w:val="single" w:sz="4" w:space="0" w:color="auto"/>
              <w:bottom w:val="single" w:sz="4" w:space="0" w:color="000000"/>
              <w:right w:val="single" w:sz="4" w:space="0" w:color="auto"/>
            </w:tcBorders>
          </w:tcPr>
          <w:p w:rsidR="00016103" w:rsidRDefault="00016103" w:rsidP="00E1119A">
            <w:pPr>
              <w:rPr>
                <w:rFonts w:cs="Calibri"/>
                <w:sz w:val="20"/>
                <w:szCs w:val="20"/>
              </w:rPr>
            </w:pPr>
          </w:p>
          <w:p w:rsidR="00FB3DA3" w:rsidRDefault="00FB3DA3" w:rsidP="00FB3DA3">
            <w:pPr>
              <w:rPr>
                <w:rFonts w:cs="Calibri"/>
                <w:sz w:val="20"/>
                <w:szCs w:val="20"/>
              </w:rPr>
            </w:pPr>
            <w:r>
              <w:rPr>
                <w:rFonts w:asciiTheme="minorHAnsi" w:hAnsiTheme="minorHAnsi" w:cstheme="minorHAnsi"/>
                <w:sz w:val="20"/>
              </w:rPr>
              <w:t>Les activités de soutien et de supervision continues réalisées par l’organisme auprès des personnes placées et des familles hôtes contribuent à établir et à entretenir des relations durables</w:t>
            </w:r>
            <w:r w:rsidR="00B74868">
              <w:rPr>
                <w:rFonts w:asciiTheme="minorHAnsi" w:hAnsiTheme="minorHAnsi" w:cstheme="minorHAnsi"/>
                <w:sz w:val="20"/>
              </w:rPr>
              <w:t xml:space="preserve">. </w:t>
            </w:r>
            <w:r>
              <w:rPr>
                <w:rFonts w:asciiTheme="minorHAnsi" w:hAnsiTheme="minorHAnsi" w:cstheme="minorHAnsi"/>
                <w:sz w:val="20"/>
              </w:rPr>
              <w:t>Elles permettent également de promouvoir et de garantir le bien-être de toutes les personnes participant au placement en famille hôte.</w:t>
            </w:r>
          </w:p>
          <w:p w:rsidR="00FB3DA3" w:rsidRDefault="00FB3DA3" w:rsidP="00FB3DA3">
            <w:pPr>
              <w:rPr>
                <w:rFonts w:cs="Calibri"/>
                <w:sz w:val="20"/>
                <w:szCs w:val="20"/>
              </w:rPr>
            </w:pPr>
          </w:p>
          <w:p w:rsidR="00016103" w:rsidRDefault="00FB3DA3">
            <w:pPr>
              <w:rPr>
                <w:rFonts w:cs="Calibri"/>
                <w:sz w:val="20"/>
                <w:szCs w:val="20"/>
              </w:rPr>
            </w:pPr>
            <w:r>
              <w:rPr>
                <w:sz w:val="20"/>
              </w:rPr>
              <w:t>Il est important que l’organisme aide à régler tout problème lié au placement.</w:t>
            </w:r>
          </w:p>
        </w:tc>
        <w:tc>
          <w:tcPr>
            <w:tcW w:w="1080" w:type="dxa"/>
            <w:tcBorders>
              <w:top w:val="single" w:sz="4" w:space="0" w:color="000000"/>
              <w:left w:val="single" w:sz="4" w:space="0" w:color="auto"/>
              <w:bottom w:val="single" w:sz="4" w:space="0" w:color="000000"/>
              <w:right w:val="single" w:sz="4" w:space="0" w:color="000000"/>
            </w:tcBorders>
          </w:tcPr>
          <w:p w:rsidR="00016103" w:rsidRDefault="00016103" w:rsidP="000C524B">
            <w:pPr>
              <w:rPr>
                <w:rFonts w:cs="Calibri"/>
                <w:sz w:val="20"/>
                <w:szCs w:val="20"/>
              </w:rPr>
            </w:pPr>
          </w:p>
          <w:p w:rsidR="00016103" w:rsidRPr="0081122E" w:rsidRDefault="00B14788" w:rsidP="00DB0F30">
            <w:pPr>
              <w:jc w:val="center"/>
              <w:rPr>
                <w:rFonts w:cs="Calibri"/>
                <w:sz w:val="20"/>
                <w:szCs w:val="20"/>
              </w:rPr>
            </w:pPr>
            <w:r>
              <w:rPr>
                <w:sz w:val="20"/>
              </w:rPr>
              <w:t>FAIBLE</w:t>
            </w:r>
          </w:p>
        </w:tc>
        <w:tc>
          <w:tcPr>
            <w:tcW w:w="2610" w:type="dxa"/>
            <w:tcBorders>
              <w:top w:val="single" w:sz="4" w:space="0" w:color="000000"/>
              <w:left w:val="single" w:sz="4" w:space="0" w:color="000000"/>
              <w:bottom w:val="single" w:sz="4" w:space="0" w:color="000000"/>
              <w:right w:val="single" w:sz="4" w:space="0" w:color="000000"/>
            </w:tcBorders>
          </w:tcPr>
          <w:p w:rsidR="00016103" w:rsidRDefault="00016103" w:rsidP="00DB0F30">
            <w:pPr>
              <w:rPr>
                <w:rFonts w:cs="Calibri"/>
                <w:sz w:val="20"/>
                <w:szCs w:val="20"/>
              </w:rPr>
            </w:pPr>
          </w:p>
          <w:p w:rsidR="00016103" w:rsidRPr="0081122E" w:rsidRDefault="00016103">
            <w:pPr>
              <w:rPr>
                <w:rFonts w:cs="Calibri"/>
                <w:sz w:val="20"/>
                <w:szCs w:val="20"/>
              </w:rPr>
            </w:pPr>
            <w:r>
              <w:rPr>
                <w:sz w:val="20"/>
              </w:rPr>
              <w:t>Les politiques et les consignes écrites de l’organisme de service prévoient le fait d’aider à régler tout problème lié au placement.</w:t>
            </w:r>
          </w:p>
        </w:tc>
        <w:tc>
          <w:tcPr>
            <w:tcW w:w="2056" w:type="dxa"/>
            <w:tcBorders>
              <w:top w:val="single" w:sz="4" w:space="0" w:color="000000"/>
              <w:left w:val="single" w:sz="4" w:space="0" w:color="000000"/>
              <w:bottom w:val="single" w:sz="4" w:space="0" w:color="000000"/>
              <w:right w:val="single" w:sz="4" w:space="0" w:color="000000"/>
            </w:tcBorders>
          </w:tcPr>
          <w:p w:rsidR="00016103" w:rsidRDefault="00016103" w:rsidP="00026E0F">
            <w:pPr>
              <w:rPr>
                <w:rFonts w:cs="Calibri"/>
                <w:sz w:val="20"/>
                <w:szCs w:val="20"/>
              </w:rPr>
            </w:pPr>
          </w:p>
          <w:p w:rsidR="00016103" w:rsidRPr="0081122E" w:rsidRDefault="00016103" w:rsidP="00026E0F">
            <w:pPr>
              <w:rPr>
                <w:rFonts w:cs="Calibri"/>
                <w:sz w:val="20"/>
                <w:szCs w:val="20"/>
              </w:rPr>
            </w:pPr>
            <w:r>
              <w:rPr>
                <w:sz w:val="20"/>
              </w:rPr>
              <w:t>Les politiques et les consignes relatives à la surveillance des familles hôtes ne prévoient pas le fait d’aider à régler tout problème lié au placement</w:t>
            </w:r>
            <w:r w:rsidR="00B74868">
              <w:rPr>
                <w:sz w:val="20"/>
              </w:rPr>
              <w:t xml:space="preserve">. </w:t>
            </w:r>
          </w:p>
        </w:tc>
        <w:tc>
          <w:tcPr>
            <w:tcW w:w="2220" w:type="dxa"/>
            <w:tcBorders>
              <w:top w:val="single" w:sz="4" w:space="0" w:color="000000"/>
              <w:left w:val="single" w:sz="4" w:space="0" w:color="000000"/>
              <w:bottom w:val="single" w:sz="4" w:space="0" w:color="000000"/>
              <w:right w:val="single" w:sz="4" w:space="0" w:color="000000"/>
            </w:tcBorders>
          </w:tcPr>
          <w:p w:rsidR="00016103" w:rsidRDefault="00016103" w:rsidP="00026E0F">
            <w:pPr>
              <w:rPr>
                <w:rFonts w:cs="Calibri"/>
                <w:sz w:val="20"/>
                <w:szCs w:val="20"/>
              </w:rPr>
            </w:pPr>
          </w:p>
          <w:p w:rsidR="00016103" w:rsidRDefault="00016103" w:rsidP="00026E0F">
            <w:pPr>
              <w:rPr>
                <w:rFonts w:cs="Calibri"/>
                <w:sz w:val="20"/>
                <w:szCs w:val="20"/>
              </w:rPr>
            </w:pPr>
            <w:r>
              <w:rPr>
                <w:sz w:val="20"/>
              </w:rPr>
              <w:t>Politiques et consignes écrites finales/approuvées et datées.</w:t>
            </w:r>
          </w:p>
        </w:tc>
      </w:tr>
      <w:tr w:rsidR="00016103" w:rsidRPr="0081122E" w:rsidTr="00637B60">
        <w:trPr>
          <w:trHeight w:hRule="exact" w:val="787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016103" w:rsidRDefault="00016103" w:rsidP="00DB0F30">
            <w:pPr>
              <w:rPr>
                <w:sz w:val="20"/>
                <w:szCs w:val="20"/>
              </w:rPr>
            </w:pPr>
          </w:p>
          <w:p w:rsidR="00016103" w:rsidRPr="00DB0F30" w:rsidRDefault="00016103" w:rsidP="00DB0F30">
            <w:pPr>
              <w:rPr>
                <w:sz w:val="20"/>
                <w:szCs w:val="20"/>
              </w:rPr>
            </w:pPr>
            <w:r>
              <w:rPr>
                <w:sz w:val="20"/>
              </w:rPr>
              <w:t>79</w:t>
            </w:r>
            <w:r w:rsidR="00B74868">
              <w:rPr>
                <w:sz w:val="20"/>
              </w:rPr>
              <w:t xml:space="preserve">. </w:t>
            </w:r>
            <w:r>
              <w:rPr>
                <w:sz w:val="20"/>
              </w:rPr>
              <w:t>Surveillance de la sécurité personnelle; signalement des incidents graves</w:t>
            </w:r>
          </w:p>
          <w:p w:rsidR="00016103" w:rsidRPr="00DB0F30" w:rsidRDefault="00016103" w:rsidP="00DB0F30">
            <w:pPr>
              <w:rPr>
                <w:sz w:val="20"/>
                <w:szCs w:val="20"/>
              </w:rPr>
            </w:pPr>
          </w:p>
          <w:p w:rsidR="00016103" w:rsidRDefault="00016103" w:rsidP="00DB0F30">
            <w:pPr>
              <w:rPr>
                <w:sz w:val="20"/>
                <w:szCs w:val="20"/>
              </w:rPr>
            </w:pPr>
            <w:r>
              <w:rPr>
                <w:sz w:val="20"/>
              </w:rPr>
              <w:t xml:space="preserve">Les organismes de service doivent établir des politiques et des consignes qui précisent dans quels cas la famille hôte doit aviser l’organisme de tout problème grave prévu dans les procédures de signalement des incidents graves. </w:t>
            </w:r>
          </w:p>
          <w:p w:rsidR="00016103" w:rsidRPr="00DB0F30" w:rsidRDefault="00016103" w:rsidP="00DB0F30">
            <w:pPr>
              <w:rPr>
                <w:sz w:val="20"/>
                <w:szCs w:val="20"/>
              </w:rPr>
            </w:pPr>
          </w:p>
          <w:p w:rsidR="00016103" w:rsidRPr="0081122E" w:rsidRDefault="00016103" w:rsidP="00DB0F30">
            <w:r>
              <w:rPr>
                <w:sz w:val="20"/>
              </w:rPr>
              <w:t>Directives en matière de politique s’appliquant aux organismes de service en ce qui a trait au Programme de placement en famille hôte 3.2</w:t>
            </w:r>
          </w:p>
        </w:tc>
        <w:tc>
          <w:tcPr>
            <w:tcW w:w="3462" w:type="dxa"/>
            <w:tcBorders>
              <w:top w:val="single" w:sz="4" w:space="0" w:color="000000"/>
              <w:left w:val="single" w:sz="4" w:space="0" w:color="auto"/>
              <w:bottom w:val="single" w:sz="4" w:space="0" w:color="000000"/>
              <w:right w:val="single" w:sz="4" w:space="0" w:color="auto"/>
            </w:tcBorders>
          </w:tcPr>
          <w:p w:rsidR="00016103" w:rsidRDefault="00016103" w:rsidP="00DB0F30">
            <w:pPr>
              <w:rPr>
                <w:rFonts w:cs="Calibri"/>
                <w:sz w:val="20"/>
                <w:szCs w:val="20"/>
              </w:rPr>
            </w:pPr>
          </w:p>
          <w:p w:rsidR="00FB3DA3" w:rsidRDefault="0096703F" w:rsidP="00DB0F30">
            <w:pPr>
              <w:rPr>
                <w:rFonts w:cs="Calibri"/>
                <w:sz w:val="20"/>
                <w:szCs w:val="20"/>
              </w:rPr>
            </w:pPr>
            <w:r>
              <w:rPr>
                <w:sz w:val="20"/>
              </w:rPr>
              <w:t>L</w:t>
            </w:r>
            <w:r w:rsidR="00FB3DA3">
              <w:rPr>
                <w:sz w:val="20"/>
              </w:rPr>
              <w:t>es activités continues de soutien et de supervision des placements au sein de familles hôtes doivent promouvoir la sécurité de la personne placée et de la famille hôte.</w:t>
            </w:r>
          </w:p>
          <w:p w:rsidR="00FB3DA3" w:rsidRDefault="00FB3DA3" w:rsidP="00DB0F30">
            <w:pPr>
              <w:rPr>
                <w:rFonts w:cs="Calibri"/>
                <w:sz w:val="20"/>
                <w:szCs w:val="20"/>
              </w:rPr>
            </w:pPr>
          </w:p>
          <w:p w:rsidR="00016103" w:rsidRPr="00345A94" w:rsidRDefault="00016103" w:rsidP="00DB0F30">
            <w:pPr>
              <w:rPr>
                <w:rFonts w:cs="Calibri"/>
                <w:sz w:val="20"/>
                <w:szCs w:val="20"/>
              </w:rPr>
            </w:pPr>
            <w:r>
              <w:rPr>
                <w:sz w:val="20"/>
              </w:rPr>
              <w:t>Le Signalement d’incident grave (SIG) et le Rapport spécial d’incident grave (RSIG) comptent parmi les nombreux outils qui permettent aux ministères et au fournisseur de services de contrôler efficacement la pertinence et la qualité de la prestation des services</w:t>
            </w:r>
            <w:r w:rsidR="00B74868">
              <w:rPr>
                <w:sz w:val="20"/>
              </w:rPr>
              <w:t xml:space="preserve">. </w:t>
            </w:r>
          </w:p>
        </w:tc>
        <w:tc>
          <w:tcPr>
            <w:tcW w:w="1080" w:type="dxa"/>
            <w:tcBorders>
              <w:top w:val="single" w:sz="4" w:space="0" w:color="000000"/>
              <w:left w:val="single" w:sz="4" w:space="0" w:color="auto"/>
              <w:bottom w:val="single" w:sz="4" w:space="0" w:color="000000"/>
              <w:right w:val="single" w:sz="4" w:space="0" w:color="000000"/>
            </w:tcBorders>
          </w:tcPr>
          <w:p w:rsidR="00016103" w:rsidRDefault="00016103" w:rsidP="000C524B">
            <w:pPr>
              <w:rPr>
                <w:rFonts w:cs="Calibri"/>
                <w:sz w:val="20"/>
                <w:szCs w:val="20"/>
              </w:rPr>
            </w:pPr>
          </w:p>
          <w:p w:rsidR="00016103" w:rsidRPr="0081122E" w:rsidRDefault="00B14788" w:rsidP="00DB0F30">
            <w:pPr>
              <w:jc w:val="center"/>
              <w:rPr>
                <w:rFonts w:cs="Calibri"/>
                <w:sz w:val="20"/>
                <w:szCs w:val="20"/>
              </w:rPr>
            </w:pPr>
            <w:r>
              <w:rPr>
                <w:sz w:val="20"/>
              </w:rPr>
              <w:t>FAIBLE</w:t>
            </w:r>
          </w:p>
        </w:tc>
        <w:tc>
          <w:tcPr>
            <w:tcW w:w="2610" w:type="dxa"/>
            <w:tcBorders>
              <w:top w:val="single" w:sz="4" w:space="0" w:color="000000"/>
              <w:left w:val="single" w:sz="4" w:space="0" w:color="000000"/>
              <w:bottom w:val="single" w:sz="4" w:space="0" w:color="000000"/>
              <w:right w:val="single" w:sz="4" w:space="0" w:color="000000"/>
            </w:tcBorders>
          </w:tcPr>
          <w:p w:rsidR="00016103" w:rsidRDefault="00016103" w:rsidP="00DB0F30">
            <w:pPr>
              <w:rPr>
                <w:rFonts w:cs="Calibri"/>
                <w:sz w:val="20"/>
                <w:szCs w:val="20"/>
              </w:rPr>
            </w:pPr>
          </w:p>
          <w:p w:rsidR="00016103" w:rsidRPr="00DB0F30" w:rsidRDefault="00016103" w:rsidP="00DB0F30">
            <w:pPr>
              <w:rPr>
                <w:rFonts w:cs="Calibri"/>
                <w:sz w:val="20"/>
                <w:szCs w:val="20"/>
              </w:rPr>
            </w:pPr>
            <w:r>
              <w:rPr>
                <w:sz w:val="20"/>
              </w:rPr>
              <w:t>Les politiques et les consignes écrites de l’organisme de service précisent dans quels cas la famille hôte doit aviser l’organisme de tout problème grave prévu dans les procédures de signalement des incidents graves.</w:t>
            </w:r>
          </w:p>
        </w:tc>
        <w:tc>
          <w:tcPr>
            <w:tcW w:w="2056" w:type="dxa"/>
            <w:tcBorders>
              <w:top w:val="single" w:sz="4" w:space="0" w:color="000000"/>
              <w:left w:val="single" w:sz="4" w:space="0" w:color="000000"/>
              <w:bottom w:val="single" w:sz="4" w:space="0" w:color="000000"/>
              <w:right w:val="single" w:sz="4" w:space="0" w:color="000000"/>
            </w:tcBorders>
          </w:tcPr>
          <w:p w:rsidR="00016103" w:rsidRDefault="00016103">
            <w:pPr>
              <w:rPr>
                <w:rFonts w:cs="Calibri"/>
                <w:sz w:val="20"/>
                <w:szCs w:val="20"/>
              </w:rPr>
            </w:pPr>
          </w:p>
          <w:p w:rsidR="00016103" w:rsidRPr="0081122E" w:rsidRDefault="00016103">
            <w:pPr>
              <w:rPr>
                <w:rFonts w:cs="Calibri"/>
                <w:sz w:val="20"/>
                <w:szCs w:val="20"/>
              </w:rPr>
            </w:pPr>
            <w:r>
              <w:rPr>
                <w:sz w:val="20"/>
              </w:rPr>
              <w:t>Les politiques et les consignes relatives à la surveillance des familles hôtes ne précisent pas dans quels cas la famille hôte doit aviser l’organisme de tout problème grave prévu dans les procédures de signalement des incidents graves.</w:t>
            </w:r>
          </w:p>
        </w:tc>
        <w:tc>
          <w:tcPr>
            <w:tcW w:w="2220" w:type="dxa"/>
            <w:tcBorders>
              <w:top w:val="single" w:sz="4" w:space="0" w:color="000000"/>
              <w:left w:val="single" w:sz="4" w:space="0" w:color="000000"/>
              <w:bottom w:val="single" w:sz="4" w:space="0" w:color="000000"/>
              <w:right w:val="single" w:sz="4" w:space="0" w:color="000000"/>
            </w:tcBorders>
          </w:tcPr>
          <w:p w:rsidR="00016103" w:rsidRDefault="00016103">
            <w:pPr>
              <w:rPr>
                <w:rFonts w:cs="Calibri"/>
                <w:sz w:val="20"/>
                <w:szCs w:val="20"/>
              </w:rPr>
            </w:pPr>
          </w:p>
          <w:p w:rsidR="00016103" w:rsidRDefault="00016103">
            <w:pPr>
              <w:rPr>
                <w:rFonts w:cs="Calibri"/>
                <w:sz w:val="20"/>
                <w:szCs w:val="20"/>
              </w:rPr>
            </w:pPr>
            <w:r>
              <w:rPr>
                <w:sz w:val="20"/>
              </w:rPr>
              <w:t>Politiques et consignes écrites finales/approuvées et datées.</w:t>
            </w:r>
          </w:p>
        </w:tc>
      </w:tr>
      <w:tr w:rsidR="00FB3DA3" w:rsidRPr="0081122E" w:rsidTr="00637B60">
        <w:trPr>
          <w:trHeight w:hRule="exact" w:val="769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FB3DA3" w:rsidRDefault="00FB3DA3" w:rsidP="00026E0F">
            <w:pPr>
              <w:pStyle w:val="TableParagraph"/>
              <w:spacing w:before="7" w:line="190" w:lineRule="exact"/>
              <w:rPr>
                <w:rFonts w:cs="Calibri"/>
                <w:sz w:val="20"/>
                <w:szCs w:val="20"/>
              </w:rPr>
            </w:pPr>
          </w:p>
          <w:p w:rsidR="00FB3DA3" w:rsidRDefault="004154B3" w:rsidP="00026E0F">
            <w:pPr>
              <w:pStyle w:val="TableParagraph"/>
              <w:spacing w:before="7" w:line="190" w:lineRule="exact"/>
              <w:rPr>
                <w:rFonts w:cs="Calibri"/>
                <w:sz w:val="20"/>
                <w:szCs w:val="20"/>
              </w:rPr>
            </w:pPr>
            <w:r>
              <w:rPr>
                <w:sz w:val="20"/>
              </w:rPr>
              <w:t>80</w:t>
            </w:r>
            <w:r w:rsidR="00B74868">
              <w:rPr>
                <w:sz w:val="20"/>
              </w:rPr>
              <w:t xml:space="preserve">. </w:t>
            </w:r>
            <w:r>
              <w:rPr>
                <w:sz w:val="20"/>
              </w:rPr>
              <w:t>Rémunération; tarifs et processus</w:t>
            </w:r>
          </w:p>
          <w:p w:rsidR="00FB3DA3" w:rsidRPr="0081122E" w:rsidRDefault="00FB3DA3" w:rsidP="00026E0F">
            <w:pPr>
              <w:pStyle w:val="TableParagraph"/>
              <w:spacing w:before="7" w:line="190" w:lineRule="exact"/>
              <w:rPr>
                <w:rFonts w:cs="Calibri"/>
                <w:sz w:val="20"/>
                <w:szCs w:val="20"/>
              </w:rPr>
            </w:pPr>
          </w:p>
          <w:p w:rsidR="00FB3DA3" w:rsidRDefault="004154B3" w:rsidP="00026E0F">
            <w:pPr>
              <w:pStyle w:val="TableParagraph"/>
              <w:spacing w:line="195" w:lineRule="exact"/>
              <w:ind w:left="35"/>
              <w:rPr>
                <w:rFonts w:cs="Calibri"/>
                <w:sz w:val="20"/>
                <w:szCs w:val="20"/>
              </w:rPr>
            </w:pPr>
            <w:r>
              <w:rPr>
                <w:sz w:val="20"/>
              </w:rPr>
              <w:t>Les politiques et les consignes écrites de l’organisme de service doivent prévoir les tarifs et les processus de rémunération de la famille hôte par l’organisme, et notamment décrire les soutiens fournis par l’organisme en sus du financement octroyé au titre du Programme ontarien de soutien aux personnes handicapées (POSPH).</w:t>
            </w:r>
          </w:p>
          <w:p w:rsidR="00FB3DA3" w:rsidRDefault="00FB3DA3" w:rsidP="00026E0F">
            <w:pPr>
              <w:pStyle w:val="TableParagraph"/>
              <w:spacing w:line="195" w:lineRule="exact"/>
              <w:ind w:left="35"/>
              <w:rPr>
                <w:rFonts w:cs="Calibri"/>
                <w:sz w:val="20"/>
                <w:szCs w:val="20"/>
              </w:rPr>
            </w:pPr>
          </w:p>
          <w:p w:rsidR="00FB3DA3" w:rsidRPr="0081122E" w:rsidRDefault="00FB3DA3" w:rsidP="0058493D">
            <w:pPr>
              <w:pStyle w:val="TableParagraph"/>
              <w:spacing w:line="195" w:lineRule="exact"/>
              <w:rPr>
                <w:rFonts w:cs="Calibri"/>
                <w:sz w:val="20"/>
                <w:szCs w:val="20"/>
              </w:rPr>
            </w:pPr>
            <w:r>
              <w:rPr>
                <w:sz w:val="20"/>
              </w:rPr>
              <w:t>Directives en matière de politique s’appliquant aux organismes de service en ce qui a trait au Programme de placement en famille hôte 4.0</w:t>
            </w:r>
          </w:p>
        </w:tc>
        <w:tc>
          <w:tcPr>
            <w:tcW w:w="3462" w:type="dxa"/>
            <w:tcBorders>
              <w:top w:val="single" w:sz="4" w:space="0" w:color="000000"/>
              <w:left w:val="single" w:sz="4" w:space="0" w:color="auto"/>
              <w:bottom w:val="single" w:sz="4" w:space="0" w:color="000000"/>
              <w:right w:val="single" w:sz="4" w:space="0" w:color="auto"/>
            </w:tcBorders>
          </w:tcPr>
          <w:p w:rsidR="00FB3DA3" w:rsidRDefault="00FB3DA3" w:rsidP="00D535C4">
            <w:pPr>
              <w:rPr>
                <w:rFonts w:cs="Calibri"/>
                <w:sz w:val="20"/>
                <w:szCs w:val="20"/>
              </w:rPr>
            </w:pPr>
          </w:p>
          <w:p w:rsidR="00FB3DA3" w:rsidRDefault="00FB3DA3" w:rsidP="00D535C4">
            <w:pPr>
              <w:rPr>
                <w:rFonts w:cs="Calibri"/>
                <w:sz w:val="20"/>
                <w:szCs w:val="20"/>
              </w:rPr>
            </w:pPr>
            <w:r>
              <w:rPr>
                <w:sz w:val="20"/>
              </w:rPr>
              <w:t>Le but est de s’assurer que les politiques et les consignes relatives aux familles hôtes prévoient l’administration et la gestion des fonds versés au titre du placement en famille hôte.</w:t>
            </w:r>
          </w:p>
          <w:p w:rsidR="00FB3DA3" w:rsidRDefault="00FB3DA3" w:rsidP="00D535C4">
            <w:pPr>
              <w:rPr>
                <w:rFonts w:cs="Calibri"/>
                <w:sz w:val="20"/>
                <w:szCs w:val="20"/>
              </w:rPr>
            </w:pPr>
          </w:p>
          <w:p w:rsidR="00B332DB" w:rsidRDefault="00FB3DA3" w:rsidP="00BA6999">
            <w:pPr>
              <w:rPr>
                <w:rFonts w:cs="Calibri"/>
                <w:sz w:val="20"/>
                <w:szCs w:val="20"/>
              </w:rPr>
            </w:pPr>
            <w:r>
              <w:rPr>
                <w:sz w:val="20"/>
              </w:rPr>
              <w:t>Dans tous les cas, la rémunération des soutiens et services doit être directement versée à la famille hôte par l’organisme de service</w:t>
            </w:r>
            <w:r w:rsidR="00B74868">
              <w:rPr>
                <w:sz w:val="20"/>
              </w:rPr>
              <w:t xml:space="preserve">. </w:t>
            </w:r>
          </w:p>
          <w:p w:rsidR="00B332DB" w:rsidRDefault="00B332DB" w:rsidP="00BA6999">
            <w:pPr>
              <w:rPr>
                <w:rFonts w:cs="Calibri"/>
                <w:sz w:val="20"/>
                <w:szCs w:val="20"/>
              </w:rPr>
            </w:pPr>
          </w:p>
          <w:p w:rsidR="00FB3DA3" w:rsidRDefault="00BA21A0" w:rsidP="00BA6999">
            <w:pPr>
              <w:rPr>
                <w:rFonts w:cs="Calibri"/>
                <w:sz w:val="20"/>
                <w:szCs w:val="20"/>
              </w:rPr>
            </w:pPr>
            <w:r>
              <w:rPr>
                <w:sz w:val="20"/>
              </w:rPr>
              <w:t>Dans le cadre de son rôle de jumelage entre des personnes et des familles hôtes et de supervision des placements, l’organisme de service fixe les tarifs de rémunération.</w:t>
            </w:r>
          </w:p>
        </w:tc>
        <w:tc>
          <w:tcPr>
            <w:tcW w:w="1080" w:type="dxa"/>
            <w:tcBorders>
              <w:top w:val="single" w:sz="4" w:space="0" w:color="000000"/>
              <w:left w:val="single" w:sz="4" w:space="0" w:color="auto"/>
              <w:bottom w:val="single" w:sz="4" w:space="0" w:color="000000"/>
              <w:right w:val="single" w:sz="4" w:space="0" w:color="000000"/>
            </w:tcBorders>
          </w:tcPr>
          <w:p w:rsidR="00FB3DA3" w:rsidRDefault="00FB3DA3" w:rsidP="000C524B">
            <w:pPr>
              <w:rPr>
                <w:rFonts w:cs="Calibri"/>
                <w:sz w:val="20"/>
                <w:szCs w:val="20"/>
              </w:rPr>
            </w:pPr>
          </w:p>
          <w:p w:rsidR="00FB3DA3" w:rsidRPr="0081122E" w:rsidRDefault="00B14788" w:rsidP="00FA500B">
            <w:pPr>
              <w:jc w:val="center"/>
              <w:rPr>
                <w:rFonts w:cs="Calibri"/>
                <w:sz w:val="20"/>
                <w:szCs w:val="20"/>
              </w:rPr>
            </w:pPr>
            <w:r>
              <w:rPr>
                <w:sz w:val="20"/>
              </w:rPr>
              <w:t>FAIBLE</w:t>
            </w:r>
          </w:p>
        </w:tc>
        <w:tc>
          <w:tcPr>
            <w:tcW w:w="2610" w:type="dxa"/>
            <w:tcBorders>
              <w:top w:val="single" w:sz="4" w:space="0" w:color="000000"/>
              <w:left w:val="single" w:sz="4" w:space="0" w:color="000000"/>
              <w:bottom w:val="single" w:sz="4" w:space="0" w:color="000000"/>
              <w:right w:val="single" w:sz="4" w:space="0" w:color="000000"/>
            </w:tcBorders>
          </w:tcPr>
          <w:p w:rsidR="00FB3DA3" w:rsidRPr="0081122E" w:rsidRDefault="00FB3DA3" w:rsidP="00F863EC">
            <w:pPr>
              <w:pStyle w:val="Default"/>
              <w:rPr>
                <w:rFonts w:ascii="Calibri" w:hAnsi="Calibri" w:cs="Calibri"/>
                <w:color w:val="auto"/>
                <w:sz w:val="20"/>
                <w:szCs w:val="20"/>
              </w:rPr>
            </w:pPr>
          </w:p>
          <w:p w:rsidR="00FB3DA3" w:rsidRPr="0081122E" w:rsidRDefault="00FB3DA3" w:rsidP="00F863EC">
            <w:pPr>
              <w:rPr>
                <w:rFonts w:cs="Calibri"/>
                <w:sz w:val="20"/>
                <w:szCs w:val="20"/>
              </w:rPr>
            </w:pPr>
            <w:r>
              <w:rPr>
                <w:sz w:val="20"/>
              </w:rPr>
              <w:t>Les politiques et les consignes écrites de l’organisme de service prévoient les tarifs et les processus de rémunération de la famille hôte par l’organisme, et décrivent notamment les soutiens fournis par l’organisme en sus du financement octroyé au titre du Programme ontarien de soutien aux personnes handicapées (POSPH).</w:t>
            </w:r>
          </w:p>
        </w:tc>
        <w:tc>
          <w:tcPr>
            <w:tcW w:w="2056" w:type="dxa"/>
            <w:tcBorders>
              <w:top w:val="single" w:sz="4" w:space="0" w:color="000000"/>
              <w:left w:val="single" w:sz="4" w:space="0" w:color="000000"/>
              <w:bottom w:val="single" w:sz="4" w:space="0" w:color="000000"/>
              <w:right w:val="single" w:sz="4" w:space="0" w:color="000000"/>
            </w:tcBorders>
          </w:tcPr>
          <w:p w:rsidR="00FB3DA3" w:rsidRDefault="00FB3DA3">
            <w:pPr>
              <w:rPr>
                <w:rFonts w:cs="Calibri"/>
                <w:sz w:val="20"/>
                <w:szCs w:val="20"/>
              </w:rPr>
            </w:pPr>
          </w:p>
          <w:p w:rsidR="00FB3DA3" w:rsidRPr="0081122E" w:rsidRDefault="00FB3DA3">
            <w:pPr>
              <w:rPr>
                <w:rFonts w:cs="Calibri"/>
                <w:sz w:val="20"/>
                <w:szCs w:val="20"/>
              </w:rPr>
            </w:pPr>
            <w:r>
              <w:rPr>
                <w:sz w:val="20"/>
              </w:rPr>
              <w:t>Les politiques et les consignes écrites de l’organisme de service ne prévoient pas les tarifs et les processus de rémunération de la famille hôte par l’organisme, et ne décrivent pas non plus les soutiens fournis par l’organisme en sus du financement octroyé au titre du Programme ontarien de soutien aux personnes handicapées (POSPH)</w:t>
            </w:r>
            <w:r w:rsidR="00B74868">
              <w:rPr>
                <w:sz w:val="20"/>
              </w:rPr>
              <w:t xml:space="preserve">. </w:t>
            </w:r>
          </w:p>
        </w:tc>
        <w:tc>
          <w:tcPr>
            <w:tcW w:w="2220" w:type="dxa"/>
            <w:tcBorders>
              <w:top w:val="single" w:sz="4" w:space="0" w:color="000000"/>
              <w:left w:val="single" w:sz="4" w:space="0" w:color="000000"/>
              <w:bottom w:val="single" w:sz="4" w:space="0" w:color="000000"/>
              <w:right w:val="single" w:sz="4" w:space="0" w:color="000000"/>
            </w:tcBorders>
          </w:tcPr>
          <w:p w:rsidR="00FB3DA3" w:rsidRDefault="00FB3DA3">
            <w:pPr>
              <w:rPr>
                <w:rFonts w:cs="Calibri"/>
                <w:sz w:val="20"/>
                <w:szCs w:val="20"/>
              </w:rPr>
            </w:pPr>
          </w:p>
          <w:p w:rsidR="00FB3DA3" w:rsidRDefault="00FB3DA3">
            <w:pPr>
              <w:rPr>
                <w:rFonts w:cs="Calibri"/>
                <w:sz w:val="20"/>
                <w:szCs w:val="20"/>
              </w:rPr>
            </w:pPr>
            <w:r>
              <w:rPr>
                <w:sz w:val="20"/>
              </w:rPr>
              <w:t>Politiques et consignes écrites finales/approuvées et datées.</w:t>
            </w:r>
          </w:p>
        </w:tc>
      </w:tr>
      <w:tr w:rsidR="00BA21A0" w:rsidRPr="0081122E" w:rsidTr="00637B60">
        <w:trPr>
          <w:trHeight w:hRule="exact" w:val="8052"/>
        </w:trPr>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BA21A0" w:rsidRDefault="00BA21A0" w:rsidP="00551CA9">
            <w:pPr>
              <w:pStyle w:val="TableParagraph"/>
              <w:spacing w:before="7" w:line="190" w:lineRule="exact"/>
              <w:rPr>
                <w:rFonts w:cs="Calibri"/>
                <w:sz w:val="20"/>
                <w:szCs w:val="20"/>
              </w:rPr>
            </w:pPr>
          </w:p>
          <w:p w:rsidR="00BA21A0" w:rsidRDefault="00BA21A0" w:rsidP="00551CA9">
            <w:pPr>
              <w:pStyle w:val="TableParagraph"/>
              <w:spacing w:before="7" w:line="190" w:lineRule="exact"/>
              <w:rPr>
                <w:rFonts w:cs="Calibri"/>
                <w:sz w:val="20"/>
                <w:szCs w:val="20"/>
              </w:rPr>
            </w:pPr>
            <w:r>
              <w:rPr>
                <w:sz w:val="20"/>
              </w:rPr>
              <w:t>81</w:t>
            </w:r>
            <w:r w:rsidR="00B74868">
              <w:rPr>
                <w:sz w:val="20"/>
              </w:rPr>
              <w:t xml:space="preserve">. </w:t>
            </w:r>
            <w:r>
              <w:rPr>
                <w:sz w:val="20"/>
              </w:rPr>
              <w:t xml:space="preserve">Rémunérations; besoins essentiels </w:t>
            </w:r>
          </w:p>
          <w:p w:rsidR="00BA21A0" w:rsidRPr="0081122E" w:rsidRDefault="00BA21A0" w:rsidP="00551CA9">
            <w:pPr>
              <w:pStyle w:val="TableParagraph"/>
              <w:spacing w:before="7" w:line="190" w:lineRule="exact"/>
              <w:rPr>
                <w:rFonts w:cs="Calibri"/>
                <w:sz w:val="20"/>
                <w:szCs w:val="20"/>
              </w:rPr>
            </w:pPr>
          </w:p>
          <w:p w:rsidR="00BA21A0" w:rsidRDefault="004154B3" w:rsidP="00551CA9">
            <w:pPr>
              <w:pStyle w:val="TableParagraph"/>
              <w:spacing w:line="200" w:lineRule="exact"/>
              <w:ind w:left="35" w:right="87"/>
              <w:rPr>
                <w:rFonts w:cs="Calibri"/>
                <w:sz w:val="20"/>
                <w:szCs w:val="20"/>
              </w:rPr>
            </w:pPr>
            <w:r>
              <w:rPr>
                <w:sz w:val="20"/>
              </w:rPr>
              <w:t>Les politiques et les consignes écrites de l’organisme de service doivent prévoir les processus de gestion du remboursement des dépenses liées au logement et aux besoins essentiels (p. ex. lorsque l’organisme de service rembourse la famille hôte au nom d’une personne placée).</w:t>
            </w:r>
          </w:p>
          <w:p w:rsidR="00BA21A0" w:rsidRDefault="00BA21A0" w:rsidP="00551CA9">
            <w:pPr>
              <w:pStyle w:val="TableParagraph"/>
              <w:spacing w:line="200" w:lineRule="exact"/>
              <w:ind w:left="35" w:right="87"/>
              <w:rPr>
                <w:rFonts w:cs="Calibri"/>
                <w:sz w:val="20"/>
                <w:szCs w:val="20"/>
              </w:rPr>
            </w:pPr>
          </w:p>
          <w:p w:rsidR="00BA21A0" w:rsidRPr="0081122E" w:rsidRDefault="00BA21A0" w:rsidP="00551CA9">
            <w:pPr>
              <w:pStyle w:val="TableParagraph"/>
              <w:spacing w:line="200" w:lineRule="exact"/>
              <w:ind w:left="35" w:right="87"/>
              <w:rPr>
                <w:rFonts w:cs="Calibri"/>
                <w:sz w:val="20"/>
                <w:szCs w:val="20"/>
              </w:rPr>
            </w:pPr>
            <w:r>
              <w:rPr>
                <w:sz w:val="20"/>
              </w:rPr>
              <w:t>Directives en matière de politique s’appliquant aux organismes de service en ce qui a trait au Programme de placement en famille hôte 4.0</w:t>
            </w:r>
          </w:p>
        </w:tc>
        <w:tc>
          <w:tcPr>
            <w:tcW w:w="3462" w:type="dxa"/>
            <w:tcBorders>
              <w:top w:val="single" w:sz="4" w:space="0" w:color="000000"/>
              <w:left w:val="single" w:sz="4" w:space="0" w:color="auto"/>
              <w:bottom w:val="single" w:sz="4" w:space="0" w:color="000000"/>
              <w:right w:val="single" w:sz="4" w:space="0" w:color="auto"/>
            </w:tcBorders>
          </w:tcPr>
          <w:p w:rsidR="00BA21A0" w:rsidRDefault="00BA21A0" w:rsidP="00D535C4">
            <w:pPr>
              <w:rPr>
                <w:rFonts w:cs="Calibri"/>
                <w:sz w:val="20"/>
                <w:szCs w:val="20"/>
              </w:rPr>
            </w:pPr>
          </w:p>
          <w:p w:rsidR="00BA21A0" w:rsidRDefault="00BA21A0" w:rsidP="00D535C4">
            <w:pPr>
              <w:rPr>
                <w:rFonts w:cs="Calibri"/>
                <w:sz w:val="20"/>
                <w:szCs w:val="20"/>
              </w:rPr>
            </w:pPr>
            <w:r>
              <w:rPr>
                <w:sz w:val="20"/>
              </w:rPr>
              <w:t>Le but est de s’assurer que les politiques et les consignes relatives aux familles hôtes prévoient l’administration et la gestion des fonds versés au titre du placement en famille hôte.</w:t>
            </w:r>
          </w:p>
          <w:p w:rsidR="00BA21A0" w:rsidRDefault="00BA21A0" w:rsidP="00D535C4">
            <w:pPr>
              <w:rPr>
                <w:rFonts w:cs="Calibri"/>
                <w:sz w:val="20"/>
                <w:szCs w:val="20"/>
              </w:rPr>
            </w:pPr>
          </w:p>
          <w:p w:rsidR="00B332DB" w:rsidRDefault="00BA21A0" w:rsidP="000C524B">
            <w:pPr>
              <w:rPr>
                <w:rFonts w:cs="Calibri"/>
                <w:sz w:val="20"/>
                <w:szCs w:val="20"/>
              </w:rPr>
            </w:pPr>
            <w:r>
              <w:rPr>
                <w:sz w:val="20"/>
              </w:rPr>
              <w:t>Dans tous les cas, la rémunération des soutiens et services doit être directement versée à la famille hôte par l’organisme de service</w:t>
            </w:r>
            <w:r w:rsidR="00B74868">
              <w:rPr>
                <w:sz w:val="20"/>
              </w:rPr>
              <w:t xml:space="preserve">. </w:t>
            </w:r>
          </w:p>
          <w:p w:rsidR="00B332DB" w:rsidRDefault="00B332DB" w:rsidP="000C524B">
            <w:pPr>
              <w:rPr>
                <w:rFonts w:cs="Calibri"/>
                <w:sz w:val="20"/>
                <w:szCs w:val="20"/>
              </w:rPr>
            </w:pPr>
          </w:p>
          <w:p w:rsidR="00BA21A0" w:rsidRPr="0081122E" w:rsidRDefault="00BA21A0" w:rsidP="000C524B">
            <w:pPr>
              <w:rPr>
                <w:rFonts w:cs="Calibri"/>
                <w:sz w:val="20"/>
                <w:szCs w:val="20"/>
              </w:rPr>
            </w:pPr>
            <w:r>
              <w:rPr>
                <w:sz w:val="20"/>
              </w:rPr>
              <w:t>Dans le cadre de son rôle de jumelage entre des personnes et des familles hôtes et de supervision des placements, l’organisme de service fixe les tarifs de rémunération.</w:t>
            </w:r>
          </w:p>
        </w:tc>
        <w:tc>
          <w:tcPr>
            <w:tcW w:w="1080" w:type="dxa"/>
            <w:tcBorders>
              <w:top w:val="single" w:sz="4" w:space="0" w:color="000000"/>
              <w:left w:val="single" w:sz="4" w:space="0" w:color="auto"/>
              <w:bottom w:val="single" w:sz="4" w:space="0" w:color="000000"/>
              <w:right w:val="single" w:sz="4" w:space="0" w:color="000000"/>
            </w:tcBorders>
          </w:tcPr>
          <w:p w:rsidR="00BA21A0" w:rsidRDefault="00BA21A0" w:rsidP="00EF42E8">
            <w:pPr>
              <w:rPr>
                <w:rFonts w:cs="Calibri"/>
                <w:sz w:val="20"/>
                <w:szCs w:val="20"/>
              </w:rPr>
            </w:pPr>
          </w:p>
          <w:p w:rsidR="00BA21A0" w:rsidRPr="0081122E" w:rsidRDefault="00B14788" w:rsidP="00FA500B">
            <w:pPr>
              <w:jc w:val="center"/>
              <w:rPr>
                <w:rFonts w:cs="Calibri"/>
                <w:sz w:val="20"/>
                <w:szCs w:val="20"/>
              </w:rPr>
            </w:pPr>
            <w:r>
              <w:rPr>
                <w:sz w:val="20"/>
              </w:rPr>
              <w:t>FAIBLE</w:t>
            </w:r>
          </w:p>
        </w:tc>
        <w:tc>
          <w:tcPr>
            <w:tcW w:w="2610" w:type="dxa"/>
            <w:tcBorders>
              <w:top w:val="single" w:sz="4" w:space="0" w:color="000000"/>
              <w:left w:val="single" w:sz="4" w:space="0" w:color="000000"/>
              <w:bottom w:val="single" w:sz="4" w:space="0" w:color="000000"/>
              <w:right w:val="single" w:sz="4" w:space="0" w:color="000000"/>
            </w:tcBorders>
          </w:tcPr>
          <w:p w:rsidR="00BA21A0" w:rsidRDefault="00BA21A0" w:rsidP="00F863EC">
            <w:pPr>
              <w:rPr>
                <w:rFonts w:eastAsia="Times New Roman" w:cs="Calibri"/>
                <w:sz w:val="20"/>
                <w:szCs w:val="20"/>
              </w:rPr>
            </w:pPr>
          </w:p>
          <w:p w:rsidR="00BA21A0" w:rsidRPr="0081122E" w:rsidRDefault="00BA21A0" w:rsidP="00F863EC">
            <w:pPr>
              <w:rPr>
                <w:rFonts w:cs="Calibri"/>
                <w:sz w:val="20"/>
                <w:szCs w:val="20"/>
              </w:rPr>
            </w:pPr>
            <w:r>
              <w:rPr>
                <w:sz w:val="20"/>
              </w:rPr>
              <w:t>Les politiques écrites de l’organisme de service prévoient les processus de gestion du remboursement des dépenses liées au logement et aux besoins essentiels.</w:t>
            </w:r>
          </w:p>
          <w:p w:rsidR="00BA21A0" w:rsidRPr="0081122E" w:rsidRDefault="00BA21A0" w:rsidP="00F863EC">
            <w:pPr>
              <w:rPr>
                <w:rFonts w:cs="Calibri"/>
                <w:sz w:val="20"/>
                <w:szCs w:val="20"/>
              </w:rPr>
            </w:pPr>
          </w:p>
        </w:tc>
        <w:tc>
          <w:tcPr>
            <w:tcW w:w="2056" w:type="dxa"/>
            <w:tcBorders>
              <w:top w:val="single" w:sz="4" w:space="0" w:color="000000"/>
              <w:left w:val="single" w:sz="4" w:space="0" w:color="000000"/>
              <w:bottom w:val="single" w:sz="4" w:space="0" w:color="000000"/>
              <w:right w:val="single" w:sz="4" w:space="0" w:color="000000"/>
            </w:tcBorders>
          </w:tcPr>
          <w:p w:rsidR="00BA21A0" w:rsidRDefault="00BA21A0" w:rsidP="00BF618C">
            <w:pPr>
              <w:rPr>
                <w:rFonts w:cs="Calibri"/>
                <w:color w:val="000000"/>
              </w:rPr>
            </w:pPr>
          </w:p>
          <w:p w:rsidR="00BA21A0" w:rsidRPr="0081122E" w:rsidRDefault="00BA21A0" w:rsidP="002F6844">
            <w:pPr>
              <w:rPr>
                <w:rFonts w:cs="Calibri"/>
                <w:sz w:val="20"/>
                <w:szCs w:val="20"/>
              </w:rPr>
            </w:pPr>
            <w:r>
              <w:rPr>
                <w:color w:val="000000"/>
                <w:sz w:val="20"/>
              </w:rPr>
              <w:t>L’organisme de service n’a pas établi de politiques et de consignes écrites prévoyant les processus de gestion du remboursement des dépenses liées au logement et aux besoins essentiels.</w:t>
            </w:r>
          </w:p>
        </w:tc>
        <w:tc>
          <w:tcPr>
            <w:tcW w:w="2220" w:type="dxa"/>
            <w:tcBorders>
              <w:top w:val="single" w:sz="4" w:space="0" w:color="000000"/>
              <w:left w:val="single" w:sz="4" w:space="0" w:color="000000"/>
              <w:bottom w:val="single" w:sz="4" w:space="0" w:color="000000"/>
              <w:right w:val="single" w:sz="4" w:space="0" w:color="000000"/>
            </w:tcBorders>
          </w:tcPr>
          <w:p w:rsidR="00BA21A0" w:rsidRDefault="00BA21A0" w:rsidP="002F6844">
            <w:pPr>
              <w:rPr>
                <w:rFonts w:cs="Calibri"/>
                <w:sz w:val="20"/>
                <w:szCs w:val="20"/>
              </w:rPr>
            </w:pPr>
          </w:p>
          <w:p w:rsidR="00BA21A0" w:rsidRDefault="00BA21A0" w:rsidP="002F6844">
            <w:pPr>
              <w:rPr>
                <w:rFonts w:cs="Calibri"/>
                <w:sz w:val="20"/>
                <w:szCs w:val="20"/>
              </w:rPr>
            </w:pPr>
            <w:r>
              <w:rPr>
                <w:sz w:val="20"/>
              </w:rPr>
              <w:t>Politiques et consignes écrites finales/approuvées et datées.</w:t>
            </w: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14760" w:type="dxa"/>
        <w:tblInd w:w="95" w:type="dxa"/>
        <w:tblLayout w:type="fixed"/>
        <w:tblCellMar>
          <w:left w:w="0" w:type="dxa"/>
          <w:right w:w="0" w:type="dxa"/>
        </w:tblCellMar>
        <w:tblLook w:val="01E0" w:firstRow="1" w:lastRow="1" w:firstColumn="1" w:lastColumn="1" w:noHBand="0" w:noVBand="0"/>
      </w:tblPr>
      <w:tblGrid>
        <w:gridCol w:w="3330"/>
        <w:gridCol w:w="3420"/>
        <w:gridCol w:w="1080"/>
        <w:gridCol w:w="2160"/>
        <w:gridCol w:w="2610"/>
        <w:gridCol w:w="2160"/>
      </w:tblGrid>
      <w:tr w:rsidR="00F669E4" w:rsidRPr="0081122E" w:rsidTr="00637B60">
        <w:trPr>
          <w:trHeight w:val="859"/>
          <w:tblHeader/>
        </w:trPr>
        <w:tc>
          <w:tcPr>
            <w:tcW w:w="3330" w:type="dxa"/>
            <w:tcBorders>
              <w:top w:val="single" w:sz="4" w:space="0" w:color="000000"/>
              <w:left w:val="single" w:sz="4" w:space="0" w:color="000000"/>
              <w:bottom w:val="nil"/>
              <w:right w:val="single" w:sz="4" w:space="0" w:color="000000"/>
            </w:tcBorders>
            <w:shd w:val="clear" w:color="auto" w:fill="BFBFBF"/>
          </w:tcPr>
          <w:p w:rsidR="00F669E4" w:rsidRPr="00F71B89" w:rsidRDefault="00F669E4" w:rsidP="00F71B89">
            <w:pPr>
              <w:pStyle w:val="TableParagraph"/>
              <w:spacing w:before="8" w:line="180" w:lineRule="exact"/>
              <w:ind w:left="720"/>
              <w:rPr>
                <w:rFonts w:cs="Calibri"/>
                <w:b/>
              </w:rPr>
            </w:pPr>
          </w:p>
          <w:p w:rsidR="00F669E4" w:rsidRPr="00F71B89" w:rsidRDefault="00F669E4" w:rsidP="00F71B89">
            <w:pPr>
              <w:pStyle w:val="TableParagraph"/>
              <w:ind w:left="720"/>
              <w:rPr>
                <w:rFonts w:cs="Calibri"/>
                <w:b/>
                <w:bCs/>
              </w:rPr>
            </w:pPr>
            <w:r>
              <w:rPr>
                <w:b/>
              </w:rPr>
              <w:t>Politique et consignes</w:t>
            </w:r>
          </w:p>
          <w:p w:rsidR="00F669E4" w:rsidRPr="00F71B89" w:rsidRDefault="00F669E4" w:rsidP="008F7CFF">
            <w:pPr>
              <w:pStyle w:val="TableParagraph"/>
              <w:ind w:left="1480"/>
              <w:rPr>
                <w:rFonts w:cs="Calibri"/>
                <w:b/>
              </w:rPr>
            </w:pPr>
          </w:p>
        </w:tc>
        <w:tc>
          <w:tcPr>
            <w:tcW w:w="3420" w:type="dxa"/>
            <w:tcBorders>
              <w:top w:val="single" w:sz="4" w:space="0" w:color="000000"/>
              <w:left w:val="single" w:sz="4" w:space="0" w:color="000000"/>
              <w:bottom w:val="nil"/>
              <w:right w:val="single" w:sz="4" w:space="0" w:color="000000"/>
            </w:tcBorders>
            <w:shd w:val="clear" w:color="auto" w:fill="BFBFBF"/>
          </w:tcPr>
          <w:p w:rsidR="00F669E4" w:rsidRPr="00F71B89" w:rsidRDefault="00F669E4" w:rsidP="00F71B89">
            <w:pPr>
              <w:pStyle w:val="TableParagraph"/>
              <w:jc w:val="center"/>
              <w:rPr>
                <w:rFonts w:cs="Calibri"/>
                <w:b/>
              </w:rPr>
            </w:pPr>
          </w:p>
          <w:p w:rsidR="00F669E4" w:rsidRPr="00F71B89" w:rsidRDefault="00F669E4" w:rsidP="00F71B89">
            <w:pPr>
              <w:pStyle w:val="TableParagraph"/>
              <w:jc w:val="center"/>
              <w:rPr>
                <w:rFonts w:cs="Calibri"/>
                <w:b/>
              </w:rPr>
            </w:pPr>
            <w:r>
              <w:rPr>
                <w:b/>
              </w:rPr>
              <w:t>But</w:t>
            </w:r>
          </w:p>
        </w:tc>
        <w:tc>
          <w:tcPr>
            <w:tcW w:w="1080" w:type="dxa"/>
            <w:tcBorders>
              <w:top w:val="single" w:sz="4" w:space="0" w:color="000000"/>
              <w:left w:val="single" w:sz="4" w:space="0" w:color="000000"/>
              <w:bottom w:val="nil"/>
              <w:right w:val="single" w:sz="4" w:space="0" w:color="000000"/>
            </w:tcBorders>
            <w:shd w:val="clear" w:color="auto" w:fill="BFBFBF"/>
          </w:tcPr>
          <w:p w:rsidR="00F669E4" w:rsidRPr="00F71B89" w:rsidRDefault="00F669E4" w:rsidP="00444946">
            <w:pPr>
              <w:pStyle w:val="TableParagraph"/>
              <w:rPr>
                <w:rFonts w:cs="Calibri"/>
                <w:b/>
              </w:rPr>
            </w:pPr>
          </w:p>
          <w:p w:rsidR="00F669E4" w:rsidRPr="00F71B89" w:rsidRDefault="001228E5" w:rsidP="00444946">
            <w:pPr>
              <w:pStyle w:val="TableParagraph"/>
              <w:jc w:val="center"/>
              <w:rPr>
                <w:rFonts w:cs="Calibri"/>
                <w:b/>
              </w:rPr>
            </w:pPr>
            <w:r>
              <w:rPr>
                <w:b/>
              </w:rPr>
              <w:t>Risque</w:t>
            </w:r>
          </w:p>
        </w:tc>
        <w:tc>
          <w:tcPr>
            <w:tcW w:w="2160" w:type="dxa"/>
            <w:tcBorders>
              <w:top w:val="single" w:sz="4" w:space="0" w:color="000000"/>
              <w:left w:val="single" w:sz="4" w:space="0" w:color="000000"/>
              <w:bottom w:val="nil"/>
              <w:right w:val="single" w:sz="4" w:space="0" w:color="000000"/>
            </w:tcBorders>
            <w:shd w:val="clear" w:color="auto" w:fill="BFBFBF"/>
          </w:tcPr>
          <w:p w:rsidR="00F669E4" w:rsidRPr="00F71B89" w:rsidRDefault="00F669E4" w:rsidP="00B80154">
            <w:pPr>
              <w:spacing w:line="200" w:lineRule="exact"/>
              <w:rPr>
                <w:rFonts w:cs="Calibri"/>
              </w:rPr>
            </w:pPr>
          </w:p>
          <w:p w:rsidR="00F669E4" w:rsidRPr="00F71B89" w:rsidRDefault="00F669E4" w:rsidP="00444946">
            <w:pPr>
              <w:spacing w:line="200" w:lineRule="exact"/>
              <w:jc w:val="center"/>
              <w:rPr>
                <w:rFonts w:cs="Calibri"/>
              </w:rPr>
            </w:pPr>
            <w:r>
              <w:rPr>
                <w:b/>
              </w:rPr>
              <w:t>Indicateur</w:t>
            </w:r>
          </w:p>
        </w:tc>
        <w:tc>
          <w:tcPr>
            <w:tcW w:w="2610" w:type="dxa"/>
            <w:tcBorders>
              <w:top w:val="single" w:sz="4" w:space="0" w:color="000000"/>
              <w:left w:val="single" w:sz="4" w:space="0" w:color="000000"/>
              <w:right w:val="single" w:sz="4" w:space="0" w:color="000000"/>
            </w:tcBorders>
            <w:shd w:val="clear" w:color="auto" w:fill="BFBFBF"/>
          </w:tcPr>
          <w:p w:rsidR="00F669E4" w:rsidRPr="00F71B89" w:rsidRDefault="00F669E4" w:rsidP="00444946">
            <w:pPr>
              <w:spacing w:line="200" w:lineRule="exact"/>
              <w:jc w:val="center"/>
              <w:rPr>
                <w:rFonts w:cs="Calibri"/>
                <w:b/>
              </w:rPr>
            </w:pPr>
          </w:p>
          <w:p w:rsidR="00F669E4" w:rsidRPr="00F71B89" w:rsidRDefault="00F669E4" w:rsidP="00444946">
            <w:pPr>
              <w:spacing w:line="200" w:lineRule="exact"/>
              <w:jc w:val="center"/>
              <w:rPr>
                <w:rFonts w:cs="Calibri"/>
                <w:b/>
              </w:rPr>
            </w:pPr>
            <w:r>
              <w:rPr>
                <w:b/>
              </w:rPr>
              <w:t>Non-conformité constatée</w:t>
            </w:r>
          </w:p>
        </w:tc>
        <w:tc>
          <w:tcPr>
            <w:tcW w:w="2160" w:type="dxa"/>
            <w:tcBorders>
              <w:top w:val="single" w:sz="4" w:space="0" w:color="000000"/>
              <w:left w:val="single" w:sz="4" w:space="0" w:color="000000"/>
              <w:right w:val="single" w:sz="4" w:space="0" w:color="000000"/>
            </w:tcBorders>
            <w:shd w:val="clear" w:color="auto" w:fill="BFBFBF"/>
          </w:tcPr>
          <w:p w:rsidR="00F669E4" w:rsidRPr="00F71B89" w:rsidRDefault="00F669E4" w:rsidP="00444946">
            <w:pPr>
              <w:spacing w:line="200" w:lineRule="exact"/>
              <w:jc w:val="center"/>
              <w:rPr>
                <w:rFonts w:cs="Calibri"/>
                <w:b/>
              </w:rPr>
            </w:pPr>
          </w:p>
          <w:p w:rsidR="00F669E4" w:rsidRPr="00F71B89" w:rsidRDefault="00F669E4" w:rsidP="00444946">
            <w:pPr>
              <w:spacing w:line="200" w:lineRule="exact"/>
              <w:jc w:val="center"/>
              <w:rPr>
                <w:rFonts w:cs="Calibri"/>
                <w:b/>
              </w:rPr>
            </w:pPr>
            <w:r>
              <w:rPr>
                <w:b/>
              </w:rPr>
              <w:t>Exigence de conformité</w:t>
            </w:r>
          </w:p>
        </w:tc>
      </w:tr>
      <w:tr w:rsidR="00F669E4" w:rsidRPr="0081122E" w:rsidTr="00637B60">
        <w:trPr>
          <w:trHeight w:hRule="exact" w:val="7467"/>
        </w:trPr>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1643F1" w:rsidRDefault="001643F1" w:rsidP="00551CA9">
            <w:pPr>
              <w:pStyle w:val="TableParagraph"/>
              <w:spacing w:line="195" w:lineRule="exact"/>
              <w:ind w:left="35"/>
              <w:rPr>
                <w:rFonts w:cs="Calibri"/>
                <w:sz w:val="20"/>
                <w:szCs w:val="20"/>
              </w:rPr>
            </w:pPr>
          </w:p>
          <w:p w:rsidR="00F669E4" w:rsidRDefault="001643F1" w:rsidP="00551CA9">
            <w:pPr>
              <w:pStyle w:val="TableParagraph"/>
              <w:spacing w:line="195" w:lineRule="exact"/>
              <w:ind w:left="35"/>
              <w:rPr>
                <w:rFonts w:cs="Calibri"/>
                <w:sz w:val="20"/>
                <w:szCs w:val="20"/>
              </w:rPr>
            </w:pPr>
            <w:r>
              <w:rPr>
                <w:sz w:val="20"/>
              </w:rPr>
              <w:t>82</w:t>
            </w:r>
            <w:r w:rsidR="00B74868">
              <w:rPr>
                <w:sz w:val="20"/>
              </w:rPr>
              <w:t xml:space="preserve">. </w:t>
            </w:r>
            <w:r>
              <w:rPr>
                <w:sz w:val="20"/>
              </w:rPr>
              <w:t xml:space="preserve">Rémunération; dépenses admissibles </w:t>
            </w:r>
          </w:p>
          <w:p w:rsidR="001643F1" w:rsidRDefault="001643F1" w:rsidP="00551CA9">
            <w:pPr>
              <w:pStyle w:val="TableParagraph"/>
              <w:spacing w:line="195" w:lineRule="exact"/>
              <w:ind w:left="35"/>
              <w:rPr>
                <w:rFonts w:cs="Calibri"/>
                <w:sz w:val="20"/>
                <w:szCs w:val="20"/>
              </w:rPr>
            </w:pPr>
          </w:p>
          <w:p w:rsidR="001643F1" w:rsidRDefault="004154B3" w:rsidP="00551CA9">
            <w:pPr>
              <w:pStyle w:val="TableParagraph"/>
              <w:spacing w:line="195" w:lineRule="exact"/>
              <w:ind w:left="35"/>
              <w:rPr>
                <w:rFonts w:cs="Calibri"/>
                <w:sz w:val="20"/>
                <w:szCs w:val="20"/>
              </w:rPr>
            </w:pPr>
            <w:r>
              <w:rPr>
                <w:sz w:val="20"/>
              </w:rPr>
              <w:t>Les politiques et les consignes de l’</w:t>
            </w:r>
            <w:r w:rsidR="009209BB">
              <w:rPr>
                <w:sz w:val="20"/>
              </w:rPr>
              <w:t>organisme de service</w:t>
            </w:r>
            <w:r>
              <w:rPr>
                <w:sz w:val="20"/>
              </w:rPr>
              <w:t xml:space="preserve"> doivent prévoir le remboursement des dépenses admissibles, le cas échéant (p. ex. dépenses engagées par la famille hôte, déplacements effectués pour se rendre à des rendez-vous chez le médecin).</w:t>
            </w:r>
          </w:p>
          <w:p w:rsidR="004374F0" w:rsidRDefault="004374F0" w:rsidP="00551CA9">
            <w:pPr>
              <w:pStyle w:val="TableParagraph"/>
              <w:spacing w:line="195" w:lineRule="exact"/>
              <w:ind w:left="35"/>
              <w:rPr>
                <w:rFonts w:cs="Calibri"/>
                <w:sz w:val="20"/>
                <w:szCs w:val="20"/>
              </w:rPr>
            </w:pPr>
          </w:p>
          <w:p w:rsidR="001643F1" w:rsidRPr="0081122E" w:rsidRDefault="001643F1" w:rsidP="001643F1">
            <w:pPr>
              <w:pStyle w:val="TableParagraph"/>
              <w:spacing w:line="195" w:lineRule="exact"/>
              <w:rPr>
                <w:rFonts w:cs="Calibri"/>
                <w:sz w:val="20"/>
                <w:szCs w:val="20"/>
              </w:rPr>
            </w:pPr>
            <w:r>
              <w:rPr>
                <w:sz w:val="20"/>
              </w:rPr>
              <w:t>Directives en matière de politique s’appliquant aux organismes de service en ce qui a trait au Programme de placement en famille hôte 4.0</w:t>
            </w:r>
          </w:p>
        </w:tc>
        <w:tc>
          <w:tcPr>
            <w:tcW w:w="3420" w:type="dxa"/>
            <w:tcBorders>
              <w:top w:val="single" w:sz="4" w:space="0" w:color="000000"/>
              <w:left w:val="single" w:sz="4" w:space="0" w:color="000000"/>
              <w:bottom w:val="single" w:sz="4" w:space="0" w:color="000000"/>
              <w:right w:val="single" w:sz="4" w:space="0" w:color="000000"/>
            </w:tcBorders>
          </w:tcPr>
          <w:p w:rsidR="00F669E4" w:rsidRDefault="00F669E4" w:rsidP="00F80C9B">
            <w:pPr>
              <w:rPr>
                <w:rFonts w:cs="Calibri"/>
                <w:sz w:val="20"/>
                <w:szCs w:val="20"/>
              </w:rPr>
            </w:pPr>
          </w:p>
          <w:p w:rsidR="00087533" w:rsidRDefault="00087533" w:rsidP="00087533">
            <w:pPr>
              <w:rPr>
                <w:rFonts w:cs="Calibri"/>
                <w:sz w:val="20"/>
                <w:szCs w:val="20"/>
              </w:rPr>
            </w:pPr>
            <w:r>
              <w:rPr>
                <w:sz w:val="20"/>
              </w:rPr>
              <w:t>Le but est de s’assurer que les politiques et les consignes relatives aux familles hôtes prévoient l’administration et la gestion des fonds versés au titre du placement en famille hôte.</w:t>
            </w:r>
          </w:p>
          <w:p w:rsidR="00087533" w:rsidRDefault="00087533" w:rsidP="00087533">
            <w:pPr>
              <w:rPr>
                <w:rFonts w:cs="Calibri"/>
                <w:sz w:val="20"/>
                <w:szCs w:val="20"/>
              </w:rPr>
            </w:pPr>
          </w:p>
          <w:p w:rsidR="00087533" w:rsidRPr="0081122E" w:rsidRDefault="00087533" w:rsidP="00087533">
            <w:pPr>
              <w:rPr>
                <w:rFonts w:cs="Calibri"/>
                <w:sz w:val="20"/>
                <w:szCs w:val="20"/>
              </w:rPr>
            </w:pPr>
            <w:r>
              <w:rPr>
                <w:sz w:val="20"/>
              </w:rPr>
              <w:t>Dans tous les cas, la rémunération des soutiens et services doit être directement versée à la famille hôte par l’organisme de service</w:t>
            </w:r>
            <w:r w:rsidR="00B74868">
              <w:rPr>
                <w:sz w:val="20"/>
              </w:rPr>
              <w:t xml:space="preserve">. </w:t>
            </w:r>
            <w:r>
              <w:rPr>
                <w:sz w:val="20"/>
              </w:rPr>
              <w:t>Dans le cadre de son rôle de jumelage entre des personnes et des familles hôtes et de supervision des placements, l’organisme de service fixe les tarifs de rémunération.</w:t>
            </w:r>
          </w:p>
        </w:tc>
        <w:tc>
          <w:tcPr>
            <w:tcW w:w="1080" w:type="dxa"/>
            <w:tcBorders>
              <w:top w:val="single" w:sz="4" w:space="0" w:color="000000"/>
              <w:left w:val="single" w:sz="4" w:space="0" w:color="000000"/>
              <w:bottom w:val="single" w:sz="4" w:space="0" w:color="000000"/>
              <w:right w:val="single" w:sz="4" w:space="0" w:color="000000"/>
            </w:tcBorders>
          </w:tcPr>
          <w:p w:rsidR="001643F1" w:rsidRDefault="001643F1" w:rsidP="00EF42E8">
            <w:pPr>
              <w:rPr>
                <w:rFonts w:cs="Calibri"/>
                <w:sz w:val="20"/>
                <w:szCs w:val="20"/>
              </w:rPr>
            </w:pPr>
          </w:p>
          <w:p w:rsidR="00F669E4" w:rsidRPr="0081122E" w:rsidRDefault="00B14788" w:rsidP="001643F1">
            <w:pPr>
              <w:jc w:val="center"/>
              <w:rPr>
                <w:rFonts w:cs="Calibri"/>
                <w:sz w:val="20"/>
                <w:szCs w:val="20"/>
              </w:rPr>
            </w:pPr>
            <w:r>
              <w:rPr>
                <w:sz w:val="20"/>
              </w:rPr>
              <w:t>FAIBLE</w:t>
            </w:r>
          </w:p>
        </w:tc>
        <w:tc>
          <w:tcPr>
            <w:tcW w:w="2160" w:type="dxa"/>
            <w:tcBorders>
              <w:top w:val="single" w:sz="4" w:space="0" w:color="000000"/>
              <w:left w:val="single" w:sz="4" w:space="0" w:color="000000"/>
              <w:bottom w:val="single" w:sz="4" w:space="0" w:color="000000"/>
              <w:right w:val="single" w:sz="4" w:space="0" w:color="000000"/>
            </w:tcBorders>
          </w:tcPr>
          <w:p w:rsidR="001643F1" w:rsidRDefault="001643F1" w:rsidP="001643F1">
            <w:pPr>
              <w:rPr>
                <w:rFonts w:cs="Calibri"/>
                <w:sz w:val="20"/>
                <w:szCs w:val="20"/>
              </w:rPr>
            </w:pPr>
          </w:p>
          <w:p w:rsidR="00F669E4" w:rsidRPr="001643F1" w:rsidRDefault="001643F1" w:rsidP="001643F1">
            <w:pPr>
              <w:rPr>
                <w:rFonts w:cs="Calibri"/>
                <w:sz w:val="20"/>
                <w:szCs w:val="20"/>
              </w:rPr>
            </w:pPr>
            <w:r>
              <w:rPr>
                <w:sz w:val="20"/>
              </w:rPr>
              <w:t>Les politiques et les consignes écrites de l’organisme de service prévoient le remboursement des dépenses admissibles, le cas échéant.</w:t>
            </w:r>
          </w:p>
        </w:tc>
        <w:tc>
          <w:tcPr>
            <w:tcW w:w="2610" w:type="dxa"/>
            <w:tcBorders>
              <w:top w:val="single" w:sz="4" w:space="0" w:color="000000"/>
              <w:left w:val="single" w:sz="4" w:space="0" w:color="000000"/>
              <w:bottom w:val="single" w:sz="4" w:space="0" w:color="000000"/>
              <w:right w:val="single" w:sz="4" w:space="0" w:color="000000"/>
            </w:tcBorders>
          </w:tcPr>
          <w:p w:rsidR="001643F1" w:rsidRDefault="001643F1" w:rsidP="00EF42E8">
            <w:pPr>
              <w:rPr>
                <w:rFonts w:cs="Calibri"/>
                <w:sz w:val="20"/>
                <w:szCs w:val="20"/>
              </w:rPr>
            </w:pPr>
          </w:p>
          <w:p w:rsidR="00F669E4" w:rsidRPr="0081122E" w:rsidRDefault="004374F0" w:rsidP="00EF42E8">
            <w:pPr>
              <w:rPr>
                <w:rFonts w:cs="Calibri"/>
                <w:sz w:val="20"/>
                <w:szCs w:val="20"/>
              </w:rPr>
            </w:pPr>
            <w:r>
              <w:rPr>
                <w:sz w:val="20"/>
              </w:rPr>
              <w:t>L’organisme de service n’a pas établi de politiques et de consignes écrites prévoyant le remboursement des dépenses admissibles, le cas échéant.</w:t>
            </w:r>
          </w:p>
        </w:tc>
        <w:tc>
          <w:tcPr>
            <w:tcW w:w="2160" w:type="dxa"/>
            <w:tcBorders>
              <w:top w:val="single" w:sz="4" w:space="0" w:color="000000"/>
              <w:left w:val="single" w:sz="4" w:space="0" w:color="000000"/>
              <w:bottom w:val="single" w:sz="4" w:space="0" w:color="000000"/>
              <w:right w:val="single" w:sz="4" w:space="0" w:color="000000"/>
            </w:tcBorders>
          </w:tcPr>
          <w:p w:rsidR="001643F1" w:rsidRDefault="001643F1" w:rsidP="00EF42E8">
            <w:pPr>
              <w:rPr>
                <w:rFonts w:cs="Calibri"/>
                <w:sz w:val="20"/>
                <w:szCs w:val="20"/>
              </w:rPr>
            </w:pPr>
          </w:p>
          <w:p w:rsidR="00F669E4" w:rsidRDefault="00F669E4" w:rsidP="00EF42E8">
            <w:pPr>
              <w:rPr>
                <w:rFonts w:cs="Calibri"/>
                <w:sz w:val="20"/>
                <w:szCs w:val="20"/>
              </w:rPr>
            </w:pPr>
            <w:r>
              <w:rPr>
                <w:sz w:val="20"/>
              </w:rPr>
              <w:t>Politiques et consignes écrites finales/approuvées et datées.</w:t>
            </w: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tbl>
      <w:tblPr>
        <w:tblW w:w="5000" w:type="pct"/>
        <w:tblLayout w:type="fixed"/>
        <w:tblCellMar>
          <w:left w:w="0" w:type="dxa"/>
          <w:right w:w="0" w:type="dxa"/>
        </w:tblCellMar>
        <w:tblLook w:val="01E0" w:firstRow="1" w:lastRow="1" w:firstColumn="1" w:lastColumn="1" w:noHBand="0" w:noVBand="0"/>
      </w:tblPr>
      <w:tblGrid>
        <w:gridCol w:w="3397"/>
        <w:gridCol w:w="3390"/>
        <w:gridCol w:w="1142"/>
        <w:gridCol w:w="2219"/>
        <w:gridCol w:w="2581"/>
        <w:gridCol w:w="2141"/>
      </w:tblGrid>
      <w:tr w:rsidR="001228E5" w:rsidRPr="0081122E" w:rsidTr="00637B60">
        <w:trPr>
          <w:trHeight w:val="960"/>
        </w:trPr>
        <w:tc>
          <w:tcPr>
            <w:tcW w:w="1142"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spacing w:before="8" w:line="180" w:lineRule="exact"/>
              <w:rPr>
                <w:rFonts w:cs="Calibri"/>
              </w:rPr>
            </w:pPr>
          </w:p>
          <w:p w:rsidR="004228FD" w:rsidRPr="00C706A7" w:rsidRDefault="004228FD" w:rsidP="000F6AE8">
            <w:pPr>
              <w:pStyle w:val="Heading1"/>
              <w:jc w:val="center"/>
              <w:rPr>
                <w:rFonts w:asciiTheme="minorHAnsi" w:hAnsiTheme="minorHAnsi" w:cstheme="minorHAnsi"/>
                <w:b w:val="0"/>
                <w:sz w:val="24"/>
              </w:rPr>
            </w:pPr>
            <w:r>
              <w:rPr>
                <w:rFonts w:asciiTheme="minorHAnsi" w:hAnsiTheme="minorHAnsi" w:cstheme="minorHAnsi"/>
                <w:sz w:val="24"/>
              </w:rPr>
              <w:t>Dossiers et documents</w:t>
            </w:r>
          </w:p>
          <w:p w:rsidR="004228FD" w:rsidRPr="00F71B89" w:rsidRDefault="004228FD" w:rsidP="000F6AE8">
            <w:pPr>
              <w:jc w:val="center"/>
              <w:rPr>
                <w:rFonts w:cs="Calibri"/>
              </w:rPr>
            </w:pPr>
          </w:p>
        </w:tc>
        <w:tc>
          <w:tcPr>
            <w:tcW w:w="1140"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4228FD" w:rsidP="000F6AE8">
            <w:pPr>
              <w:pStyle w:val="TableParagraph"/>
              <w:jc w:val="center"/>
              <w:rPr>
                <w:rFonts w:cs="Calibri"/>
                <w:b/>
              </w:rPr>
            </w:pPr>
            <w:r>
              <w:rPr>
                <w:b/>
              </w:rPr>
              <w:t>But</w:t>
            </w:r>
          </w:p>
        </w:tc>
        <w:tc>
          <w:tcPr>
            <w:tcW w:w="384"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1228E5" w:rsidP="000F6AE8">
            <w:pPr>
              <w:jc w:val="center"/>
              <w:rPr>
                <w:rFonts w:cs="Calibri"/>
              </w:rPr>
            </w:pPr>
            <w:r>
              <w:rPr>
                <w:b/>
              </w:rPr>
              <w:t>Risque</w:t>
            </w:r>
          </w:p>
        </w:tc>
        <w:tc>
          <w:tcPr>
            <w:tcW w:w="746"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spacing w:line="200" w:lineRule="exact"/>
              <w:jc w:val="center"/>
              <w:rPr>
                <w:rFonts w:cs="Calibri"/>
              </w:rPr>
            </w:pPr>
          </w:p>
          <w:p w:rsidR="004228FD" w:rsidRPr="00F71B89" w:rsidRDefault="004228FD" w:rsidP="000F6AE8">
            <w:pPr>
              <w:spacing w:line="200" w:lineRule="exact"/>
              <w:jc w:val="center"/>
              <w:rPr>
                <w:rFonts w:cs="Calibri"/>
                <w:b/>
              </w:rPr>
            </w:pPr>
          </w:p>
          <w:p w:rsidR="004228FD" w:rsidRPr="00F71B89" w:rsidRDefault="004228FD" w:rsidP="000F6AE8">
            <w:pPr>
              <w:spacing w:line="200" w:lineRule="exact"/>
              <w:jc w:val="center"/>
              <w:rPr>
                <w:rFonts w:cs="Calibri"/>
              </w:rPr>
            </w:pPr>
            <w:r>
              <w:rPr>
                <w:b/>
              </w:rPr>
              <w:t>Indicateur</w:t>
            </w:r>
          </w:p>
          <w:p w:rsidR="004228FD" w:rsidRPr="00F71B89" w:rsidRDefault="004228FD" w:rsidP="000F6AE8">
            <w:pPr>
              <w:rPr>
                <w:rFonts w:cs="Calibri"/>
              </w:rPr>
            </w:pPr>
          </w:p>
        </w:tc>
        <w:tc>
          <w:tcPr>
            <w:tcW w:w="868"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b/>
              </w:rPr>
            </w:pPr>
            <w:r>
              <w:rPr>
                <w:b/>
              </w:rPr>
              <w:t>Non-conformité constatée</w:t>
            </w:r>
          </w:p>
        </w:tc>
        <w:tc>
          <w:tcPr>
            <w:tcW w:w="721"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rPr>
            </w:pPr>
            <w:r>
              <w:rPr>
                <w:b/>
              </w:rPr>
              <w:t>Exigence de conformité</w:t>
            </w:r>
          </w:p>
        </w:tc>
      </w:tr>
      <w:tr w:rsidR="001228E5" w:rsidRPr="0081122E" w:rsidTr="00637B60">
        <w:trPr>
          <w:trHeight w:hRule="exact" w:val="7818"/>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rsidR="0046260B" w:rsidRDefault="0046260B" w:rsidP="002216E4">
            <w:pPr>
              <w:rPr>
                <w:sz w:val="20"/>
                <w:szCs w:val="20"/>
              </w:rPr>
            </w:pPr>
          </w:p>
          <w:p w:rsidR="004228FD" w:rsidRPr="002216E4" w:rsidRDefault="002216E4" w:rsidP="002216E4">
            <w:pPr>
              <w:rPr>
                <w:sz w:val="20"/>
                <w:szCs w:val="20"/>
              </w:rPr>
            </w:pPr>
            <w:r>
              <w:rPr>
                <w:sz w:val="20"/>
              </w:rPr>
              <w:t>51. Critères de présélection; membre de la famille</w:t>
            </w:r>
          </w:p>
          <w:p w:rsidR="004228FD" w:rsidRPr="002216E4" w:rsidRDefault="004228FD" w:rsidP="002216E4">
            <w:pPr>
              <w:rPr>
                <w:sz w:val="20"/>
                <w:szCs w:val="20"/>
              </w:rPr>
            </w:pPr>
          </w:p>
          <w:p w:rsidR="0046260B" w:rsidRDefault="004374F0" w:rsidP="002216E4">
            <w:pPr>
              <w:rPr>
                <w:color w:val="000000"/>
                <w:sz w:val="20"/>
                <w:szCs w:val="20"/>
              </w:rPr>
            </w:pPr>
            <w:r>
              <w:rPr>
                <w:color w:val="000000"/>
                <w:sz w:val="20"/>
              </w:rPr>
              <w:t xml:space="preserve">Comme indiqué dans la section « Définitions » des directives en matière de politique, la personne ayant une déficience intellectuelle ne peut pas avoir pour famille hôte un membre de sa famille. </w:t>
            </w:r>
          </w:p>
          <w:p w:rsidR="004374F0" w:rsidRDefault="004374F0" w:rsidP="002216E4">
            <w:pPr>
              <w:rPr>
                <w:color w:val="000000"/>
                <w:sz w:val="20"/>
                <w:szCs w:val="20"/>
              </w:rPr>
            </w:pPr>
          </w:p>
          <w:p w:rsidR="002216E4" w:rsidRPr="002216E4" w:rsidRDefault="002216E4" w:rsidP="002216E4">
            <w:pPr>
              <w:rPr>
                <w:color w:val="000000"/>
                <w:sz w:val="20"/>
                <w:szCs w:val="20"/>
              </w:rPr>
            </w:pPr>
            <w:r>
              <w:rPr>
                <w:color w:val="000000"/>
                <w:sz w:val="20"/>
              </w:rPr>
              <w:t>Directives en matière de politique s’appliquant aux organismes de service en ce qui a trait au Programme de placement en famille hôte 1.0</w:t>
            </w:r>
          </w:p>
          <w:p w:rsidR="004228FD" w:rsidRPr="00F71B89" w:rsidRDefault="004228FD" w:rsidP="000F6AE8">
            <w:pPr>
              <w:widowControl/>
              <w:rPr>
                <w:rFonts w:cs="Calibri"/>
                <w:sz w:val="16"/>
                <w:szCs w:val="16"/>
              </w:rPr>
            </w:pPr>
          </w:p>
          <w:p w:rsidR="004228FD" w:rsidRPr="0081122E" w:rsidRDefault="004228FD" w:rsidP="000F6AE8">
            <w:pPr>
              <w:rPr>
                <w:rFonts w:cs="Calibri"/>
                <w:sz w:val="20"/>
                <w:szCs w:val="20"/>
              </w:rPr>
            </w:pPr>
          </w:p>
          <w:p w:rsidR="004228FD" w:rsidRPr="0081122E" w:rsidRDefault="00B74868" w:rsidP="000F6AE8">
            <w:pPr>
              <w:rPr>
                <w:rFonts w:cs="Calibri"/>
                <w:sz w:val="20"/>
                <w:szCs w:val="20"/>
              </w:rPr>
            </w:pPr>
            <w:r>
              <w:rPr>
                <w:sz w:val="20"/>
              </w:rPr>
              <w:t xml:space="preserve">Remarque : </w:t>
            </w:r>
            <w:r w:rsidR="00AC5DC6">
              <w:rPr>
                <w:sz w:val="20"/>
              </w:rPr>
              <w:t>le terme « membre de la famille » est défini dans les directives.</w:t>
            </w:r>
          </w:p>
          <w:p w:rsidR="004228FD" w:rsidRPr="0081122E" w:rsidRDefault="004228FD" w:rsidP="000F6AE8">
            <w:pPr>
              <w:pStyle w:val="TableParagraph"/>
              <w:spacing w:line="200" w:lineRule="exact"/>
              <w:ind w:left="35" w:right="38"/>
              <w:rPr>
                <w:rFonts w:cs="Calibri"/>
                <w:sz w:val="20"/>
                <w:szCs w:val="20"/>
              </w:rPr>
            </w:pPr>
          </w:p>
        </w:tc>
        <w:tc>
          <w:tcPr>
            <w:tcW w:w="1140" w:type="pct"/>
            <w:tcBorders>
              <w:top w:val="single" w:sz="4" w:space="0" w:color="000000"/>
              <w:left w:val="single" w:sz="4" w:space="0" w:color="000000"/>
              <w:bottom w:val="single" w:sz="4" w:space="0" w:color="000000"/>
              <w:right w:val="single" w:sz="4" w:space="0" w:color="000000"/>
            </w:tcBorders>
          </w:tcPr>
          <w:p w:rsidR="004228FD" w:rsidRDefault="004228FD" w:rsidP="000F6AE8">
            <w:pPr>
              <w:autoSpaceDE w:val="0"/>
              <w:autoSpaceDN w:val="0"/>
              <w:adjustRightInd w:val="0"/>
              <w:rPr>
                <w:rFonts w:cs="Calibri"/>
                <w:sz w:val="20"/>
                <w:szCs w:val="20"/>
              </w:rPr>
            </w:pPr>
          </w:p>
          <w:p w:rsidR="004228FD" w:rsidRDefault="004154B3" w:rsidP="0064099F">
            <w:pPr>
              <w:autoSpaceDE w:val="0"/>
              <w:autoSpaceDN w:val="0"/>
              <w:adjustRightInd w:val="0"/>
              <w:rPr>
                <w:rFonts w:cs="Calibri"/>
                <w:sz w:val="20"/>
                <w:szCs w:val="20"/>
              </w:rPr>
            </w:pPr>
            <w:r>
              <w:rPr>
                <w:sz w:val="20"/>
              </w:rPr>
              <w:t>Le but du programme est de jumeler une personne à une famille hôte autre que sa famille.</w:t>
            </w:r>
          </w:p>
          <w:p w:rsidR="001228E5" w:rsidRDefault="001228E5" w:rsidP="0064099F">
            <w:pPr>
              <w:autoSpaceDE w:val="0"/>
              <w:autoSpaceDN w:val="0"/>
              <w:adjustRightInd w:val="0"/>
              <w:rPr>
                <w:rFonts w:cs="Calibri"/>
                <w:sz w:val="20"/>
                <w:szCs w:val="20"/>
              </w:rPr>
            </w:pPr>
          </w:p>
          <w:p w:rsidR="001228E5" w:rsidRDefault="001228E5">
            <w:pPr>
              <w:autoSpaceDE w:val="0"/>
              <w:autoSpaceDN w:val="0"/>
              <w:adjustRightInd w:val="0"/>
              <w:rPr>
                <w:rFonts w:cs="Calibri"/>
                <w:sz w:val="20"/>
                <w:szCs w:val="20"/>
              </w:rPr>
            </w:pPr>
            <w:r>
              <w:rPr>
                <w:sz w:val="20"/>
              </w:rPr>
              <w:t>L’organisme de service devrait envisager d’inclure cette exigence dans ses politiques et consignes écrites régissant le processus de présélection des familles hôtes.</w:t>
            </w:r>
          </w:p>
        </w:tc>
        <w:tc>
          <w:tcPr>
            <w:tcW w:w="384" w:type="pct"/>
            <w:tcBorders>
              <w:top w:val="single" w:sz="4" w:space="0" w:color="000000"/>
              <w:left w:val="single" w:sz="4" w:space="0" w:color="000000"/>
              <w:bottom w:val="single" w:sz="4" w:space="0" w:color="000000"/>
              <w:right w:val="single" w:sz="4" w:space="0" w:color="000000"/>
            </w:tcBorders>
          </w:tcPr>
          <w:p w:rsidR="0046260B" w:rsidRDefault="0046260B" w:rsidP="002216E4">
            <w:pPr>
              <w:jc w:val="center"/>
              <w:rPr>
                <w:rFonts w:cs="Calibri"/>
                <w:sz w:val="20"/>
                <w:szCs w:val="20"/>
              </w:rPr>
            </w:pPr>
          </w:p>
          <w:p w:rsidR="004228FD" w:rsidRPr="0081122E" w:rsidRDefault="001A0B33" w:rsidP="00B14788">
            <w:pPr>
              <w:jc w:val="center"/>
              <w:rPr>
                <w:rFonts w:cs="Calibri"/>
                <w:sz w:val="20"/>
                <w:szCs w:val="20"/>
              </w:rPr>
            </w:pPr>
            <w:r>
              <w:rPr>
                <w:sz w:val="20"/>
              </w:rPr>
              <w:t>MODÉRÉ</w:t>
            </w:r>
          </w:p>
        </w:tc>
        <w:tc>
          <w:tcPr>
            <w:tcW w:w="746" w:type="pct"/>
            <w:tcBorders>
              <w:top w:val="single" w:sz="4" w:space="0" w:color="000000"/>
              <w:left w:val="single" w:sz="4" w:space="0" w:color="000000"/>
              <w:bottom w:val="single" w:sz="4" w:space="0" w:color="000000"/>
              <w:right w:val="single" w:sz="4" w:space="0" w:color="000000"/>
            </w:tcBorders>
          </w:tcPr>
          <w:p w:rsidR="0046260B" w:rsidRDefault="0046260B" w:rsidP="000F6AE8">
            <w:pPr>
              <w:autoSpaceDE w:val="0"/>
              <w:autoSpaceDN w:val="0"/>
              <w:adjustRightInd w:val="0"/>
              <w:rPr>
                <w:rFonts w:cs="Calibri"/>
                <w:sz w:val="20"/>
                <w:szCs w:val="20"/>
              </w:rPr>
            </w:pPr>
          </w:p>
          <w:p w:rsidR="004228FD" w:rsidRDefault="002216E4" w:rsidP="000F6AE8">
            <w:pPr>
              <w:autoSpaceDE w:val="0"/>
              <w:autoSpaceDN w:val="0"/>
              <w:adjustRightInd w:val="0"/>
              <w:rPr>
                <w:rFonts w:asciiTheme="minorHAnsi" w:hAnsiTheme="minorHAnsi" w:cstheme="minorHAnsi"/>
                <w:sz w:val="20"/>
                <w:szCs w:val="20"/>
              </w:rPr>
            </w:pPr>
            <w:r>
              <w:rPr>
                <w:sz w:val="20"/>
              </w:rPr>
              <w:t>Dossiers de recrutement; formulaires de demande, formulaires d’admission/de nouveau service; conventions de service; vérification du casier judiciaire et références morales; outils et documents de présélection; documents d’aiguillage.</w:t>
            </w:r>
          </w:p>
          <w:p w:rsidR="004228FD" w:rsidRPr="00F71B89" w:rsidRDefault="004228FD" w:rsidP="000F6AE8">
            <w:pPr>
              <w:autoSpaceDE w:val="0"/>
              <w:autoSpaceDN w:val="0"/>
              <w:adjustRightInd w:val="0"/>
              <w:rPr>
                <w:rFonts w:asciiTheme="minorHAnsi" w:hAnsiTheme="minorHAnsi" w:cstheme="minorHAnsi"/>
                <w:sz w:val="20"/>
                <w:szCs w:val="20"/>
              </w:rPr>
            </w:pPr>
          </w:p>
          <w:p w:rsidR="004228FD" w:rsidRPr="00F71B89" w:rsidRDefault="004228FD" w:rsidP="000F6AE8">
            <w:pPr>
              <w:rPr>
                <w:rFonts w:asciiTheme="minorHAnsi" w:hAnsiTheme="minorHAnsi" w:cstheme="minorHAnsi"/>
                <w:sz w:val="20"/>
                <w:szCs w:val="20"/>
              </w:rPr>
            </w:pPr>
          </w:p>
          <w:p w:rsidR="004228FD" w:rsidRPr="0081122E" w:rsidRDefault="004228FD" w:rsidP="000F6AE8">
            <w:pPr>
              <w:pStyle w:val="ListParagraph"/>
              <w:rPr>
                <w:rFonts w:cs="Calibri"/>
                <w:sz w:val="20"/>
                <w:szCs w:val="20"/>
              </w:rPr>
            </w:pPr>
          </w:p>
        </w:tc>
        <w:tc>
          <w:tcPr>
            <w:tcW w:w="868" w:type="pct"/>
            <w:tcBorders>
              <w:top w:val="single" w:sz="4" w:space="0" w:color="000000"/>
              <w:left w:val="single" w:sz="4" w:space="0" w:color="000000"/>
              <w:bottom w:val="single" w:sz="4" w:space="0" w:color="000000"/>
              <w:right w:val="single" w:sz="4" w:space="0" w:color="000000"/>
            </w:tcBorders>
          </w:tcPr>
          <w:p w:rsidR="0046260B" w:rsidRDefault="0046260B" w:rsidP="002216E4">
            <w:pPr>
              <w:rPr>
                <w:rFonts w:cs="Calibri"/>
                <w:color w:val="000000"/>
                <w:sz w:val="20"/>
                <w:szCs w:val="20"/>
              </w:rPr>
            </w:pPr>
          </w:p>
          <w:p w:rsidR="004228FD" w:rsidRDefault="00AC62B6" w:rsidP="000F6AE8">
            <w:pPr>
              <w:rPr>
                <w:rFonts w:cs="Calibri"/>
                <w:sz w:val="20"/>
                <w:szCs w:val="20"/>
              </w:rPr>
            </w:pPr>
            <w:r>
              <w:rPr>
                <w:color w:val="000000"/>
                <w:sz w:val="20"/>
              </w:rPr>
              <w:t>La famille hôte est la famille de la personne ayant une déficience intellectuelle.</w:t>
            </w:r>
          </w:p>
        </w:tc>
        <w:tc>
          <w:tcPr>
            <w:tcW w:w="721" w:type="pct"/>
            <w:tcBorders>
              <w:top w:val="single" w:sz="4" w:space="0" w:color="000000"/>
              <w:left w:val="single" w:sz="4" w:space="0" w:color="000000"/>
              <w:bottom w:val="single" w:sz="4" w:space="0" w:color="000000"/>
              <w:right w:val="single" w:sz="4" w:space="0" w:color="000000"/>
            </w:tcBorders>
          </w:tcPr>
          <w:p w:rsidR="0046260B" w:rsidRDefault="0046260B" w:rsidP="000F6AE8">
            <w:pPr>
              <w:rPr>
                <w:rFonts w:cs="Calibri"/>
                <w:sz w:val="20"/>
                <w:szCs w:val="20"/>
              </w:rPr>
            </w:pPr>
          </w:p>
          <w:p w:rsidR="004228FD" w:rsidRDefault="004228FD" w:rsidP="000F6AE8">
            <w:pPr>
              <w:rPr>
                <w:rFonts w:cs="Calibri"/>
                <w:sz w:val="20"/>
                <w:szCs w:val="20"/>
              </w:rPr>
            </w:pPr>
            <w:r>
              <w:rPr>
                <w:sz w:val="20"/>
              </w:rPr>
              <w:t>Une lettre ou un document confirmant que la mesure corrective a été menée à bien.</w:t>
            </w:r>
          </w:p>
          <w:p w:rsidR="004228FD" w:rsidRDefault="004228FD" w:rsidP="000F6AE8">
            <w:pPr>
              <w:rPr>
                <w:rFonts w:cs="Calibri"/>
                <w:sz w:val="20"/>
                <w:szCs w:val="20"/>
              </w:rPr>
            </w:pPr>
          </w:p>
          <w:p w:rsidR="004228FD" w:rsidRPr="0081122E" w:rsidRDefault="004228FD"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Layout w:type="fixed"/>
        <w:tblCellMar>
          <w:left w:w="0" w:type="dxa"/>
          <w:right w:w="0" w:type="dxa"/>
        </w:tblCellMar>
        <w:tblLook w:val="01E0" w:firstRow="1" w:lastRow="1" w:firstColumn="1" w:lastColumn="1" w:noHBand="0" w:noVBand="0"/>
      </w:tblPr>
      <w:tblGrid>
        <w:gridCol w:w="3490"/>
        <w:gridCol w:w="3195"/>
        <w:gridCol w:w="1241"/>
        <w:gridCol w:w="2544"/>
        <w:gridCol w:w="2544"/>
        <w:gridCol w:w="1856"/>
      </w:tblGrid>
      <w:tr w:rsidR="004228FD" w:rsidRPr="0081122E" w:rsidTr="00AF3033">
        <w:trPr>
          <w:trHeight w:val="960"/>
        </w:trPr>
        <w:tc>
          <w:tcPr>
            <w:tcW w:w="1173"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spacing w:before="8" w:line="180" w:lineRule="exact"/>
              <w:rPr>
                <w:rFonts w:cs="Calibri"/>
              </w:rPr>
            </w:pPr>
          </w:p>
          <w:p w:rsidR="004228FD" w:rsidRPr="00C706A7" w:rsidRDefault="004228FD" w:rsidP="000F6AE8">
            <w:pPr>
              <w:pStyle w:val="Heading1"/>
              <w:jc w:val="center"/>
              <w:rPr>
                <w:rFonts w:asciiTheme="minorHAnsi" w:hAnsiTheme="minorHAnsi" w:cstheme="minorHAnsi"/>
                <w:b w:val="0"/>
                <w:sz w:val="24"/>
              </w:rPr>
            </w:pPr>
            <w:r>
              <w:rPr>
                <w:rFonts w:asciiTheme="minorHAnsi" w:hAnsiTheme="minorHAnsi" w:cstheme="minorHAnsi"/>
                <w:sz w:val="24"/>
              </w:rPr>
              <w:t>Dossiers et documents</w:t>
            </w:r>
          </w:p>
          <w:p w:rsidR="004228FD" w:rsidRPr="00F71B89" w:rsidRDefault="004228FD" w:rsidP="000F6AE8">
            <w:pPr>
              <w:jc w:val="center"/>
              <w:rPr>
                <w:rFonts w:cs="Calibri"/>
              </w:rPr>
            </w:pPr>
          </w:p>
        </w:tc>
        <w:tc>
          <w:tcPr>
            <w:tcW w:w="1074"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4228FD" w:rsidP="000F6AE8">
            <w:pPr>
              <w:pStyle w:val="TableParagraph"/>
              <w:jc w:val="center"/>
              <w:rPr>
                <w:rFonts w:cs="Calibri"/>
                <w:b/>
              </w:rPr>
            </w:pPr>
            <w:r>
              <w:rPr>
                <w:b/>
              </w:rPr>
              <w:t>But</w:t>
            </w:r>
          </w:p>
        </w:tc>
        <w:tc>
          <w:tcPr>
            <w:tcW w:w="417"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CF34B2" w:rsidP="000F6AE8">
            <w:pPr>
              <w:jc w:val="center"/>
              <w:rPr>
                <w:rFonts w:cs="Calibri"/>
              </w:rPr>
            </w:pPr>
            <w:r>
              <w:rPr>
                <w:b/>
              </w:rPr>
              <w:t>Risque</w:t>
            </w:r>
          </w:p>
        </w:tc>
        <w:tc>
          <w:tcPr>
            <w:tcW w:w="855"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spacing w:line="200" w:lineRule="exact"/>
              <w:jc w:val="center"/>
              <w:rPr>
                <w:rFonts w:cs="Calibri"/>
              </w:rPr>
            </w:pPr>
          </w:p>
          <w:p w:rsidR="004228FD" w:rsidRPr="00F71B89" w:rsidRDefault="004228FD" w:rsidP="000F6AE8">
            <w:pPr>
              <w:spacing w:line="200" w:lineRule="exact"/>
              <w:jc w:val="center"/>
              <w:rPr>
                <w:rFonts w:cs="Calibri"/>
                <w:b/>
              </w:rPr>
            </w:pPr>
          </w:p>
          <w:p w:rsidR="004228FD" w:rsidRPr="00F71B89" w:rsidRDefault="004228FD" w:rsidP="000F6AE8">
            <w:pPr>
              <w:spacing w:line="200" w:lineRule="exact"/>
              <w:jc w:val="center"/>
              <w:rPr>
                <w:rFonts w:cs="Calibri"/>
              </w:rPr>
            </w:pPr>
            <w:r>
              <w:rPr>
                <w:b/>
              </w:rPr>
              <w:t>Indicateur</w:t>
            </w:r>
          </w:p>
          <w:p w:rsidR="004228FD" w:rsidRPr="00F71B89" w:rsidRDefault="004228FD" w:rsidP="000F6AE8">
            <w:pPr>
              <w:rPr>
                <w:rFonts w:cs="Calibri"/>
              </w:rPr>
            </w:pPr>
          </w:p>
        </w:tc>
        <w:tc>
          <w:tcPr>
            <w:tcW w:w="855"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b/>
              </w:rPr>
            </w:pPr>
            <w:r>
              <w:rPr>
                <w:b/>
              </w:rPr>
              <w:t>Non-conformité constatée</w:t>
            </w:r>
          </w:p>
        </w:tc>
        <w:tc>
          <w:tcPr>
            <w:tcW w:w="624"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rPr>
            </w:pPr>
            <w:r>
              <w:rPr>
                <w:b/>
              </w:rPr>
              <w:t>Exigence de conformité</w:t>
            </w:r>
          </w:p>
        </w:tc>
      </w:tr>
      <w:tr w:rsidR="004228FD" w:rsidRPr="0081122E" w:rsidTr="00AF3033">
        <w:trPr>
          <w:trHeight w:hRule="exact" w:val="7818"/>
        </w:trPr>
        <w:tc>
          <w:tcPr>
            <w:tcW w:w="1173" w:type="pct"/>
            <w:tcBorders>
              <w:top w:val="single" w:sz="4" w:space="0" w:color="000000"/>
              <w:left w:val="single" w:sz="4" w:space="0" w:color="000000"/>
              <w:bottom w:val="single" w:sz="4" w:space="0" w:color="000000"/>
              <w:right w:val="single" w:sz="4" w:space="0" w:color="000000"/>
            </w:tcBorders>
            <w:shd w:val="clear" w:color="auto" w:fill="auto"/>
          </w:tcPr>
          <w:p w:rsidR="0046260B" w:rsidRDefault="0046260B" w:rsidP="0046260B">
            <w:pPr>
              <w:pStyle w:val="TableParagraph"/>
              <w:spacing w:before="48"/>
              <w:ind w:left="35"/>
              <w:rPr>
                <w:rFonts w:cs="Calibri"/>
                <w:sz w:val="20"/>
                <w:szCs w:val="20"/>
              </w:rPr>
            </w:pPr>
          </w:p>
          <w:p w:rsidR="004228FD" w:rsidRPr="0081122E" w:rsidRDefault="002216E4" w:rsidP="0046260B">
            <w:pPr>
              <w:pStyle w:val="TableParagraph"/>
              <w:spacing w:before="48"/>
              <w:rPr>
                <w:rFonts w:cs="Calibri"/>
                <w:sz w:val="20"/>
                <w:szCs w:val="20"/>
              </w:rPr>
            </w:pPr>
            <w:r>
              <w:rPr>
                <w:sz w:val="20"/>
              </w:rPr>
              <w:t>52. Plafonds, placements au sein de familles hôtes</w:t>
            </w:r>
          </w:p>
          <w:p w:rsidR="004228FD" w:rsidRPr="0081122E" w:rsidRDefault="004228FD" w:rsidP="0046260B">
            <w:pPr>
              <w:pStyle w:val="TableParagraph"/>
              <w:spacing w:before="7" w:line="190" w:lineRule="exact"/>
              <w:rPr>
                <w:rFonts w:cs="Calibri"/>
                <w:sz w:val="20"/>
                <w:szCs w:val="20"/>
              </w:rPr>
            </w:pPr>
          </w:p>
          <w:p w:rsidR="00DD2992" w:rsidRDefault="00AC62B6" w:rsidP="0046260B">
            <w:pPr>
              <w:rPr>
                <w:rFonts w:cs="Calibri"/>
                <w:color w:val="000000"/>
                <w:sz w:val="20"/>
                <w:szCs w:val="20"/>
              </w:rPr>
            </w:pPr>
            <w:r>
              <w:rPr>
                <w:color w:val="000000"/>
                <w:sz w:val="20"/>
              </w:rPr>
              <w:t>Il n’est pas possible de placer plus de deux personnes (enfants ou adultes) dans la résidence d’une famille hôte. Ce plafond comprend les enfants ou les adultes ayant été placés dans la résidence de la famille hôte par d’autres fournisseurs de services financés par le MSEJ ou MSSC (p. ex. placements effectués par une organisation ou en vertu de programmes autres que le Programme de placement en famille hôte)</w:t>
            </w:r>
            <w:r w:rsidR="00B74868">
              <w:rPr>
                <w:color w:val="000000"/>
                <w:sz w:val="20"/>
              </w:rPr>
              <w:t xml:space="preserve">. </w:t>
            </w:r>
          </w:p>
          <w:p w:rsidR="00AC62B6" w:rsidRDefault="00AC62B6" w:rsidP="0046260B">
            <w:pPr>
              <w:rPr>
                <w:rFonts w:cs="Calibri"/>
                <w:color w:val="000000"/>
                <w:sz w:val="20"/>
                <w:szCs w:val="20"/>
              </w:rPr>
            </w:pPr>
          </w:p>
          <w:p w:rsidR="002216E4" w:rsidRPr="002216E4" w:rsidRDefault="002216E4" w:rsidP="0046260B">
            <w:pPr>
              <w:rPr>
                <w:rFonts w:cs="Calibri"/>
                <w:color w:val="000000"/>
                <w:sz w:val="20"/>
                <w:szCs w:val="20"/>
              </w:rPr>
            </w:pPr>
            <w:r>
              <w:rPr>
                <w:color w:val="000000"/>
                <w:sz w:val="20"/>
              </w:rPr>
              <w:t>Directives en matière de politique s’appliquant aux organismes de service en ce qui a trait au Programme de placement en famille hôte 1.0</w:t>
            </w:r>
          </w:p>
          <w:p w:rsidR="004228FD" w:rsidRPr="00F71B89" w:rsidRDefault="004228FD" w:rsidP="000F6AE8">
            <w:pPr>
              <w:widowControl/>
              <w:rPr>
                <w:rFonts w:cs="Calibri"/>
                <w:sz w:val="16"/>
                <w:szCs w:val="16"/>
              </w:rPr>
            </w:pPr>
          </w:p>
          <w:p w:rsidR="004228FD" w:rsidRPr="0081122E" w:rsidRDefault="004228FD" w:rsidP="000F6AE8">
            <w:pPr>
              <w:rPr>
                <w:rFonts w:cs="Calibri"/>
                <w:sz w:val="20"/>
                <w:szCs w:val="20"/>
              </w:rPr>
            </w:pPr>
          </w:p>
          <w:p w:rsidR="004228FD" w:rsidRPr="0081122E" w:rsidRDefault="004228FD" w:rsidP="000F6AE8">
            <w:pPr>
              <w:rPr>
                <w:rFonts w:cs="Calibri"/>
                <w:sz w:val="20"/>
                <w:szCs w:val="20"/>
              </w:rPr>
            </w:pPr>
          </w:p>
          <w:p w:rsidR="004228FD" w:rsidRPr="0081122E" w:rsidRDefault="004228FD" w:rsidP="000F6AE8">
            <w:pPr>
              <w:pStyle w:val="TableParagraph"/>
              <w:spacing w:line="200" w:lineRule="exact"/>
              <w:ind w:left="35" w:right="38"/>
              <w:rPr>
                <w:rFonts w:cs="Calibri"/>
                <w:sz w:val="20"/>
                <w:szCs w:val="20"/>
              </w:rPr>
            </w:pPr>
          </w:p>
        </w:tc>
        <w:tc>
          <w:tcPr>
            <w:tcW w:w="1074" w:type="pct"/>
            <w:tcBorders>
              <w:top w:val="single" w:sz="4" w:space="0" w:color="000000"/>
              <w:left w:val="single" w:sz="4" w:space="0" w:color="000000"/>
              <w:bottom w:val="single" w:sz="4" w:space="0" w:color="000000"/>
              <w:right w:val="single" w:sz="4" w:space="0" w:color="000000"/>
            </w:tcBorders>
          </w:tcPr>
          <w:p w:rsidR="004228FD" w:rsidRDefault="004228FD" w:rsidP="000F6AE8">
            <w:pPr>
              <w:autoSpaceDE w:val="0"/>
              <w:autoSpaceDN w:val="0"/>
              <w:adjustRightInd w:val="0"/>
              <w:rPr>
                <w:rFonts w:cs="Calibri"/>
                <w:sz w:val="20"/>
                <w:szCs w:val="20"/>
              </w:rPr>
            </w:pPr>
          </w:p>
          <w:p w:rsidR="00A47A45" w:rsidRDefault="00A47A45" w:rsidP="00A3221D">
            <w:pPr>
              <w:widowControl/>
              <w:contextualSpacing/>
              <w:rPr>
                <w:sz w:val="20"/>
                <w:szCs w:val="20"/>
              </w:rPr>
            </w:pPr>
            <w:r>
              <w:rPr>
                <w:sz w:val="20"/>
              </w:rPr>
              <w:t xml:space="preserve">L’un des principaux objectifs du Programme de placement en famille hôte (comme indiqué dans les directives </w:t>
            </w:r>
            <w:r w:rsidR="001753BA">
              <w:rPr>
                <w:sz w:val="20"/>
              </w:rPr>
              <w:t xml:space="preserve">en matière </w:t>
            </w:r>
            <w:r>
              <w:rPr>
                <w:sz w:val="20"/>
              </w:rPr>
              <w:t>de politique) est de permettre aux personnes de vivre dans un milieu familial sûr et sécuritaire</w:t>
            </w:r>
            <w:r w:rsidR="00B74868">
              <w:rPr>
                <w:sz w:val="20"/>
              </w:rPr>
              <w:t xml:space="preserve">. </w:t>
            </w:r>
            <w:r>
              <w:rPr>
                <w:sz w:val="20"/>
              </w:rPr>
              <w:t>Si le ministère reconnaît que les familles ont différentes formes et tailles, le plafonnement du nombre de placements au sein d’une résidence vise à promouvoir et entretenir le sentiment d’appartenance à la famille et à di</w:t>
            </w:r>
            <w:r w:rsidR="001753BA">
              <w:rPr>
                <w:sz w:val="20"/>
              </w:rPr>
              <w:t xml:space="preserve">stinguer </w:t>
            </w:r>
            <w:r>
              <w:rPr>
                <w:sz w:val="20"/>
              </w:rPr>
              <w:t xml:space="preserve">les résidences de famille hôte </w:t>
            </w:r>
            <w:r w:rsidR="001753BA">
              <w:rPr>
                <w:sz w:val="20"/>
              </w:rPr>
              <w:t xml:space="preserve">d’avec les </w:t>
            </w:r>
            <w:r>
              <w:rPr>
                <w:sz w:val="20"/>
              </w:rPr>
              <w:t>autres soutiens résidentiels (p. ex. résidences de groupe avec services de soutien).</w:t>
            </w:r>
          </w:p>
          <w:p w:rsidR="00A47A45" w:rsidRDefault="00A47A45" w:rsidP="00A3221D">
            <w:pPr>
              <w:widowControl/>
              <w:contextualSpacing/>
              <w:rPr>
                <w:sz w:val="20"/>
                <w:szCs w:val="20"/>
              </w:rPr>
            </w:pPr>
          </w:p>
          <w:p w:rsidR="00A3221D" w:rsidRPr="00A3221D" w:rsidRDefault="00AC5DC6" w:rsidP="00A3221D">
            <w:pPr>
              <w:widowControl/>
              <w:contextualSpacing/>
              <w:rPr>
                <w:sz w:val="20"/>
                <w:szCs w:val="20"/>
              </w:rPr>
            </w:pPr>
            <w:r>
              <w:rPr>
                <w:sz w:val="20"/>
              </w:rPr>
              <w:t>Cette exigence entre en vigueur le 1</w:t>
            </w:r>
            <w:r>
              <w:rPr>
                <w:sz w:val="20"/>
                <w:vertAlign w:val="superscript"/>
              </w:rPr>
              <w:t>er</w:t>
            </w:r>
            <w:r>
              <w:rPr>
                <w:sz w:val="20"/>
              </w:rPr>
              <w:t> avril 2016</w:t>
            </w:r>
            <w:r w:rsidR="00B74868">
              <w:rPr>
                <w:sz w:val="20"/>
              </w:rPr>
              <w:t xml:space="preserve">. </w:t>
            </w:r>
            <w:r>
              <w:rPr>
                <w:sz w:val="20"/>
              </w:rPr>
              <w:t>Il n’est pas prévu qu’elle s’applique de manière rétroactive aux familles hôtes existantes qui hébergeaient plus de deux personnes au titre du Programme de placement en famille hôte avant le 1</w:t>
            </w:r>
            <w:r>
              <w:rPr>
                <w:sz w:val="20"/>
                <w:vertAlign w:val="superscript"/>
              </w:rPr>
              <w:t>er</w:t>
            </w:r>
            <w:r>
              <w:rPr>
                <w:sz w:val="20"/>
              </w:rPr>
              <w:t> avril 2016.</w:t>
            </w:r>
          </w:p>
          <w:p w:rsidR="004228FD" w:rsidRDefault="004228FD" w:rsidP="000F6AE8">
            <w:pPr>
              <w:autoSpaceDE w:val="0"/>
              <w:autoSpaceDN w:val="0"/>
              <w:adjustRightInd w:val="0"/>
              <w:rPr>
                <w:rFonts w:cs="Calibri"/>
                <w:sz w:val="20"/>
                <w:szCs w:val="20"/>
              </w:rPr>
            </w:pPr>
          </w:p>
          <w:p w:rsidR="004228FD" w:rsidRDefault="001A0B33" w:rsidP="00182F16">
            <w:pPr>
              <w:autoSpaceDE w:val="0"/>
              <w:autoSpaceDN w:val="0"/>
              <w:adjustRightInd w:val="0"/>
              <w:rPr>
                <w:rFonts w:cs="Calibri"/>
                <w:sz w:val="20"/>
                <w:szCs w:val="20"/>
              </w:rPr>
            </w:pPr>
            <w:r>
              <w:rPr>
                <w:sz w:val="20"/>
              </w:rPr>
              <w:t>L’organisme de service devrait envisager d’inclure cette exigence dans ses politiques et consignes écrites régissant le processus de présélection des familles hôtes.</w:t>
            </w:r>
          </w:p>
        </w:tc>
        <w:tc>
          <w:tcPr>
            <w:tcW w:w="417" w:type="pct"/>
            <w:tcBorders>
              <w:top w:val="single" w:sz="4" w:space="0" w:color="000000"/>
              <w:left w:val="single" w:sz="4" w:space="0" w:color="000000"/>
              <w:bottom w:val="single" w:sz="4" w:space="0" w:color="000000"/>
              <w:right w:val="single" w:sz="4" w:space="0" w:color="000000"/>
            </w:tcBorders>
          </w:tcPr>
          <w:p w:rsidR="0046260B" w:rsidRDefault="0046260B" w:rsidP="000F6AE8">
            <w:pPr>
              <w:rPr>
                <w:rFonts w:cs="Calibri"/>
                <w:sz w:val="20"/>
                <w:szCs w:val="20"/>
              </w:rPr>
            </w:pPr>
          </w:p>
          <w:p w:rsidR="004228FD" w:rsidRDefault="00B14788" w:rsidP="0046260B">
            <w:pPr>
              <w:jc w:val="center"/>
              <w:rPr>
                <w:rFonts w:cs="Calibri"/>
                <w:sz w:val="20"/>
                <w:szCs w:val="20"/>
              </w:rPr>
            </w:pPr>
            <w:r>
              <w:rPr>
                <w:sz w:val="20"/>
              </w:rPr>
              <w:t>ÉLEVÉ</w:t>
            </w:r>
          </w:p>
          <w:p w:rsidR="004228FD" w:rsidRPr="0081122E" w:rsidRDefault="004228FD" w:rsidP="000F6AE8">
            <w:pPr>
              <w:rPr>
                <w:rFonts w:cs="Calibri"/>
                <w:sz w:val="20"/>
                <w:szCs w:val="20"/>
              </w:rPr>
            </w:pPr>
          </w:p>
        </w:tc>
        <w:tc>
          <w:tcPr>
            <w:tcW w:w="855" w:type="pct"/>
            <w:tcBorders>
              <w:top w:val="single" w:sz="4" w:space="0" w:color="000000"/>
              <w:left w:val="single" w:sz="4" w:space="0" w:color="000000"/>
              <w:bottom w:val="single" w:sz="4" w:space="0" w:color="000000"/>
              <w:right w:val="single" w:sz="4" w:space="0" w:color="000000"/>
            </w:tcBorders>
          </w:tcPr>
          <w:p w:rsidR="0046260B" w:rsidRDefault="0046260B" w:rsidP="000F6AE8">
            <w:pPr>
              <w:autoSpaceDE w:val="0"/>
              <w:autoSpaceDN w:val="0"/>
              <w:adjustRightInd w:val="0"/>
              <w:rPr>
                <w:rFonts w:cs="Calibri"/>
                <w:sz w:val="20"/>
                <w:szCs w:val="20"/>
              </w:rPr>
            </w:pPr>
          </w:p>
          <w:p w:rsidR="004228FD" w:rsidRDefault="0046260B" w:rsidP="000F6AE8">
            <w:pPr>
              <w:autoSpaceDE w:val="0"/>
              <w:autoSpaceDN w:val="0"/>
              <w:adjustRightInd w:val="0"/>
              <w:rPr>
                <w:rFonts w:asciiTheme="minorHAnsi" w:hAnsiTheme="minorHAnsi" w:cstheme="minorHAnsi"/>
                <w:sz w:val="20"/>
                <w:szCs w:val="20"/>
              </w:rPr>
            </w:pPr>
            <w:r>
              <w:rPr>
                <w:sz w:val="20"/>
              </w:rPr>
              <w:t>(Il peut être nécessaire de demander directement à l’organisme) Dossiers de recrutement; formulaires de demande; formulaires d’admission/de nouveau service; conventions de service; outils et documents de présélection; documents d’aiguillage; formulaires/lettres d’approbation; correspondance avec d’autres organismes.</w:t>
            </w:r>
          </w:p>
          <w:p w:rsidR="004228FD" w:rsidRDefault="004228FD" w:rsidP="000F6AE8">
            <w:pPr>
              <w:autoSpaceDE w:val="0"/>
              <w:autoSpaceDN w:val="0"/>
              <w:adjustRightInd w:val="0"/>
              <w:rPr>
                <w:rFonts w:asciiTheme="minorHAnsi" w:hAnsiTheme="minorHAnsi" w:cstheme="minorHAnsi"/>
                <w:sz w:val="20"/>
                <w:szCs w:val="20"/>
              </w:rPr>
            </w:pPr>
          </w:p>
          <w:p w:rsidR="004228FD" w:rsidRPr="00F71B89" w:rsidRDefault="004228FD" w:rsidP="000F6AE8">
            <w:pPr>
              <w:autoSpaceDE w:val="0"/>
              <w:autoSpaceDN w:val="0"/>
              <w:adjustRightInd w:val="0"/>
              <w:rPr>
                <w:rFonts w:asciiTheme="minorHAnsi" w:hAnsiTheme="minorHAnsi" w:cstheme="minorHAnsi"/>
                <w:sz w:val="20"/>
                <w:szCs w:val="20"/>
              </w:rPr>
            </w:pPr>
          </w:p>
          <w:p w:rsidR="004228FD" w:rsidRPr="00F71B89" w:rsidRDefault="004228FD" w:rsidP="000F6AE8">
            <w:pPr>
              <w:rPr>
                <w:rFonts w:asciiTheme="minorHAnsi" w:hAnsiTheme="minorHAnsi" w:cstheme="minorHAnsi"/>
                <w:sz w:val="20"/>
                <w:szCs w:val="20"/>
              </w:rPr>
            </w:pPr>
          </w:p>
          <w:p w:rsidR="004228FD" w:rsidRPr="0081122E" w:rsidRDefault="004228FD" w:rsidP="000F6AE8">
            <w:pPr>
              <w:pStyle w:val="ListParagraph"/>
              <w:rPr>
                <w:rFonts w:cs="Calibri"/>
                <w:sz w:val="20"/>
                <w:szCs w:val="20"/>
              </w:rPr>
            </w:pPr>
          </w:p>
        </w:tc>
        <w:tc>
          <w:tcPr>
            <w:tcW w:w="855" w:type="pct"/>
            <w:tcBorders>
              <w:top w:val="single" w:sz="4" w:space="0" w:color="000000"/>
              <w:left w:val="single" w:sz="4" w:space="0" w:color="000000"/>
              <w:bottom w:val="single" w:sz="4" w:space="0" w:color="000000"/>
              <w:right w:val="single" w:sz="4" w:space="0" w:color="000000"/>
            </w:tcBorders>
          </w:tcPr>
          <w:p w:rsidR="0046260B" w:rsidRDefault="0046260B" w:rsidP="000F6AE8">
            <w:pPr>
              <w:rPr>
                <w:rFonts w:cs="Calibri"/>
                <w:sz w:val="20"/>
                <w:szCs w:val="20"/>
              </w:rPr>
            </w:pPr>
          </w:p>
          <w:p w:rsidR="00182F16" w:rsidRPr="00182F16" w:rsidRDefault="00182F16" w:rsidP="00182F16">
            <w:pPr>
              <w:autoSpaceDE w:val="0"/>
              <w:autoSpaceDN w:val="0"/>
              <w:adjustRightInd w:val="0"/>
              <w:rPr>
                <w:rFonts w:cs="Calibri"/>
                <w:sz w:val="20"/>
                <w:szCs w:val="20"/>
              </w:rPr>
            </w:pPr>
            <w:r>
              <w:rPr>
                <w:sz w:val="20"/>
              </w:rPr>
              <w:t>Les documents examinés confirment que plus de deux personnes sont placées au sein de la résidence d’une famille hôte et que ces placements :</w:t>
            </w:r>
          </w:p>
          <w:p w:rsidR="00182F16" w:rsidRPr="00182F16" w:rsidRDefault="00182F16" w:rsidP="00182F16">
            <w:pPr>
              <w:autoSpaceDE w:val="0"/>
              <w:autoSpaceDN w:val="0"/>
              <w:adjustRightInd w:val="0"/>
              <w:rPr>
                <w:rFonts w:cs="Calibri"/>
                <w:sz w:val="20"/>
                <w:szCs w:val="20"/>
              </w:rPr>
            </w:pPr>
            <w:r>
              <w:rPr>
                <w:sz w:val="20"/>
              </w:rPr>
              <w:t>- sont concernés par la no</w:t>
            </w:r>
            <w:r w:rsidR="001753BA">
              <w:rPr>
                <w:sz w:val="20"/>
              </w:rPr>
              <w:t xml:space="preserve">uvelle règle (c.-à-d. qu’ils n’ont </w:t>
            </w:r>
            <w:r>
              <w:rPr>
                <w:sz w:val="20"/>
              </w:rPr>
              <w:t xml:space="preserve">pas </w:t>
            </w:r>
            <w:r w:rsidR="001753BA">
              <w:rPr>
                <w:sz w:val="20"/>
              </w:rPr>
              <w:t xml:space="preserve">été </w:t>
            </w:r>
            <w:r>
              <w:rPr>
                <w:sz w:val="20"/>
              </w:rPr>
              <w:t>effectués avant le 1</w:t>
            </w:r>
            <w:r>
              <w:rPr>
                <w:sz w:val="20"/>
                <w:vertAlign w:val="superscript"/>
              </w:rPr>
              <w:t>er</w:t>
            </w:r>
            <w:r>
              <w:rPr>
                <w:sz w:val="20"/>
              </w:rPr>
              <w:t> avril 2016);</w:t>
            </w:r>
          </w:p>
          <w:p w:rsidR="004228FD" w:rsidRDefault="00182F16" w:rsidP="00182F16">
            <w:pPr>
              <w:rPr>
                <w:rFonts w:cs="Calibri"/>
                <w:sz w:val="20"/>
                <w:szCs w:val="20"/>
              </w:rPr>
            </w:pPr>
            <w:r>
              <w:rPr>
                <w:sz w:val="20"/>
              </w:rPr>
              <w:t>- ou ne relèvent pas des exceptions ou des circonstances atténuantes prévues dans la directive en matière de politique.</w:t>
            </w:r>
          </w:p>
        </w:tc>
        <w:tc>
          <w:tcPr>
            <w:tcW w:w="624" w:type="pct"/>
            <w:tcBorders>
              <w:top w:val="single" w:sz="4" w:space="0" w:color="000000"/>
              <w:left w:val="single" w:sz="4" w:space="0" w:color="000000"/>
              <w:bottom w:val="single" w:sz="4" w:space="0" w:color="000000"/>
              <w:right w:val="single" w:sz="4" w:space="0" w:color="000000"/>
            </w:tcBorders>
          </w:tcPr>
          <w:p w:rsidR="0046260B" w:rsidRDefault="0046260B" w:rsidP="000F6AE8">
            <w:pPr>
              <w:rPr>
                <w:rFonts w:cs="Calibri"/>
                <w:sz w:val="20"/>
                <w:szCs w:val="20"/>
              </w:rPr>
            </w:pPr>
          </w:p>
          <w:p w:rsidR="004C260F" w:rsidRDefault="004C260F" w:rsidP="004C260F">
            <w:pPr>
              <w:rPr>
                <w:rFonts w:cs="Calibri"/>
                <w:sz w:val="20"/>
                <w:szCs w:val="20"/>
              </w:rPr>
            </w:pPr>
            <w:r w:rsidRPr="004C260F">
              <w:rPr>
                <w:sz w:val="20"/>
                <w:highlight w:val="yellow"/>
              </w:rPr>
              <w:t>Il est nécessaire, dans les 24 heures qui suivent la réception de la lettre de non-conformité, de fournir une réponse et/ou de justifier les actions réalisées en décrivant les mesures correctives et les délais de résolution du problème. Il convient d’envoyer, dans les 10 jours ouvrables, une lettre ou un document confirmant que la mesure corrective a été menée à bien.</w:t>
            </w:r>
          </w:p>
          <w:p w:rsidR="004228FD" w:rsidRDefault="004228FD" w:rsidP="000F6AE8">
            <w:pPr>
              <w:rPr>
                <w:rFonts w:cs="Calibri"/>
                <w:sz w:val="20"/>
                <w:szCs w:val="20"/>
              </w:rPr>
            </w:pPr>
          </w:p>
          <w:p w:rsidR="004228FD" w:rsidRPr="0081122E" w:rsidRDefault="004228FD"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230"/>
        <w:gridCol w:w="1169"/>
        <w:gridCol w:w="2477"/>
        <w:gridCol w:w="2578"/>
        <w:gridCol w:w="1891"/>
      </w:tblGrid>
      <w:tr w:rsidR="004228FD" w:rsidRPr="0081122E"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spacing w:before="8" w:line="180" w:lineRule="exact"/>
              <w:rPr>
                <w:rFonts w:cs="Calibri"/>
              </w:rPr>
            </w:pPr>
          </w:p>
          <w:p w:rsidR="004228FD" w:rsidRPr="00C706A7" w:rsidRDefault="004228FD" w:rsidP="000F6AE8">
            <w:pPr>
              <w:pStyle w:val="Heading1"/>
              <w:jc w:val="center"/>
              <w:rPr>
                <w:rFonts w:asciiTheme="minorHAnsi" w:hAnsiTheme="minorHAnsi" w:cstheme="minorHAnsi"/>
                <w:b w:val="0"/>
                <w:sz w:val="24"/>
              </w:rPr>
            </w:pPr>
            <w:r>
              <w:rPr>
                <w:rFonts w:asciiTheme="minorHAnsi" w:hAnsiTheme="minorHAnsi" w:cstheme="minorHAnsi"/>
                <w:sz w:val="24"/>
              </w:rPr>
              <w:t>Dossiers et documents</w:t>
            </w:r>
          </w:p>
          <w:p w:rsidR="004228FD" w:rsidRPr="00F71B89" w:rsidRDefault="004228FD" w:rsidP="000F6AE8">
            <w:pPr>
              <w:jc w:val="center"/>
              <w:rPr>
                <w:rFonts w:cs="Calibri"/>
              </w:rPr>
            </w:pPr>
          </w:p>
        </w:tc>
        <w:tc>
          <w:tcPr>
            <w:tcW w:w="1086"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4228FD" w:rsidP="000F6AE8">
            <w:pPr>
              <w:pStyle w:val="TableParagraph"/>
              <w:jc w:val="center"/>
              <w:rPr>
                <w:rFonts w:cs="Calibri"/>
                <w:b/>
              </w:rPr>
            </w:pPr>
            <w:r>
              <w:rPr>
                <w:b/>
              </w:rPr>
              <w:t>But</w:t>
            </w:r>
          </w:p>
        </w:tc>
        <w:tc>
          <w:tcPr>
            <w:tcW w:w="393"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983268" w:rsidP="000F6AE8">
            <w:pPr>
              <w:jc w:val="center"/>
              <w:rPr>
                <w:rFonts w:cs="Calibri"/>
              </w:rPr>
            </w:pPr>
            <w:r>
              <w:rPr>
                <w:b/>
              </w:rPr>
              <w:t>Risque</w:t>
            </w:r>
          </w:p>
        </w:tc>
        <w:tc>
          <w:tcPr>
            <w:tcW w:w="833"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spacing w:line="200" w:lineRule="exact"/>
              <w:jc w:val="center"/>
              <w:rPr>
                <w:rFonts w:cs="Calibri"/>
              </w:rPr>
            </w:pPr>
          </w:p>
          <w:p w:rsidR="004228FD" w:rsidRPr="00F71B89" w:rsidRDefault="004228FD" w:rsidP="000F6AE8">
            <w:pPr>
              <w:spacing w:line="200" w:lineRule="exact"/>
              <w:jc w:val="center"/>
              <w:rPr>
                <w:rFonts w:cs="Calibri"/>
                <w:b/>
              </w:rPr>
            </w:pPr>
          </w:p>
          <w:p w:rsidR="004228FD" w:rsidRPr="00F71B89" w:rsidRDefault="004228FD" w:rsidP="000F6AE8">
            <w:pPr>
              <w:spacing w:line="200" w:lineRule="exact"/>
              <w:jc w:val="center"/>
              <w:rPr>
                <w:rFonts w:cs="Calibri"/>
              </w:rPr>
            </w:pPr>
            <w:r>
              <w:rPr>
                <w:b/>
              </w:rPr>
              <w:t>Indicateur</w:t>
            </w:r>
          </w:p>
          <w:p w:rsidR="004228FD" w:rsidRPr="00F71B89" w:rsidRDefault="004228FD"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b/>
              </w:rPr>
            </w:pPr>
            <w:r>
              <w:rPr>
                <w:b/>
              </w:rPr>
              <w:t>Non-conformité constatée</w:t>
            </w:r>
          </w:p>
        </w:tc>
        <w:tc>
          <w:tcPr>
            <w:tcW w:w="636"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rPr>
            </w:pPr>
            <w:r>
              <w:rPr>
                <w:b/>
              </w:rPr>
              <w:t>Exigence de conformité</w:t>
            </w:r>
          </w:p>
        </w:tc>
      </w:tr>
      <w:tr w:rsidR="004228FD" w:rsidRPr="0081122E"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46260B" w:rsidRDefault="0046260B" w:rsidP="0046260B">
            <w:pPr>
              <w:pStyle w:val="TableParagraph"/>
              <w:spacing w:before="48"/>
              <w:ind w:left="35"/>
              <w:rPr>
                <w:rFonts w:cs="Calibri"/>
                <w:sz w:val="20"/>
                <w:szCs w:val="20"/>
              </w:rPr>
            </w:pPr>
          </w:p>
          <w:p w:rsidR="004228FD" w:rsidRPr="0081122E" w:rsidRDefault="0046260B" w:rsidP="0046260B">
            <w:pPr>
              <w:pStyle w:val="TableParagraph"/>
              <w:spacing w:before="48"/>
              <w:ind w:left="35"/>
              <w:rPr>
                <w:rFonts w:cs="Calibri"/>
                <w:sz w:val="20"/>
                <w:szCs w:val="20"/>
              </w:rPr>
            </w:pPr>
            <w:r>
              <w:rPr>
                <w:sz w:val="20"/>
              </w:rPr>
              <w:t>53. Plafonds, placements au sein de familles hôtes; exceptions/circonstances atténuantes</w:t>
            </w:r>
          </w:p>
          <w:p w:rsidR="004228FD" w:rsidRPr="0081122E" w:rsidRDefault="004228FD" w:rsidP="0046260B">
            <w:pPr>
              <w:pStyle w:val="TableParagraph"/>
              <w:spacing w:before="7" w:line="190" w:lineRule="exact"/>
              <w:rPr>
                <w:rFonts w:cs="Calibri"/>
                <w:sz w:val="20"/>
                <w:szCs w:val="20"/>
              </w:rPr>
            </w:pPr>
          </w:p>
          <w:p w:rsidR="0046260B" w:rsidRDefault="00AC62B6" w:rsidP="0046260B">
            <w:pPr>
              <w:widowControl/>
              <w:rPr>
                <w:rFonts w:cs="Calibri"/>
                <w:sz w:val="20"/>
                <w:szCs w:val="20"/>
              </w:rPr>
            </w:pPr>
            <w:r>
              <w:rPr>
                <w:sz w:val="20"/>
              </w:rPr>
              <w:t xml:space="preserve">L’organisme peut uniquement envisager de faire exception au plafond applicable au nombre de placements si les éléments clés à prendre en compte lors de la présélection de la famille hôte ont été satisfaits. L’organisme de service devra documenter les raisons justifiant une exception et les verser au dossier. </w:t>
            </w:r>
          </w:p>
          <w:p w:rsidR="004B20ED" w:rsidRDefault="004B20ED" w:rsidP="0046260B">
            <w:pPr>
              <w:widowControl/>
              <w:rPr>
                <w:rFonts w:cs="Calibri"/>
                <w:sz w:val="20"/>
                <w:szCs w:val="20"/>
              </w:rPr>
            </w:pPr>
            <w:r>
              <w:rPr>
                <w:sz w:val="20"/>
              </w:rPr>
              <w:t xml:space="preserve">Il devra également, dans les 10 jours ouvrables qui suivent, aviser le ministère des dispositions aux termes </w:t>
            </w:r>
            <w:r w:rsidR="00081EAB">
              <w:rPr>
                <w:sz w:val="20"/>
              </w:rPr>
              <w:t xml:space="preserve">desquelles il a approuvé une exception </w:t>
            </w:r>
            <w:r>
              <w:rPr>
                <w:sz w:val="20"/>
              </w:rPr>
              <w:t>ou des circonstances atténuantes</w:t>
            </w:r>
            <w:r w:rsidR="00B74868">
              <w:rPr>
                <w:rFonts w:ascii="Arial" w:hAnsi="Arial"/>
              </w:rPr>
              <w:t xml:space="preserve">. </w:t>
            </w:r>
          </w:p>
          <w:p w:rsidR="00AC62B6" w:rsidRDefault="00AC62B6" w:rsidP="0046260B">
            <w:pPr>
              <w:widowControl/>
              <w:rPr>
                <w:rFonts w:cs="Calibri"/>
                <w:sz w:val="20"/>
                <w:szCs w:val="20"/>
              </w:rPr>
            </w:pPr>
          </w:p>
          <w:p w:rsidR="004228FD" w:rsidRPr="00F71B89" w:rsidRDefault="0046260B" w:rsidP="0046260B">
            <w:pPr>
              <w:widowControl/>
              <w:rPr>
                <w:rFonts w:cs="Calibri"/>
                <w:sz w:val="16"/>
                <w:szCs w:val="16"/>
              </w:rPr>
            </w:pPr>
            <w:r>
              <w:rPr>
                <w:sz w:val="20"/>
              </w:rPr>
              <w:t>Directives en matière de politique s’appliquant aux organismes de service en ce qui a trait au Programme de placement en famille hôte 1.0</w:t>
            </w:r>
          </w:p>
          <w:p w:rsidR="004228FD" w:rsidRPr="0081122E" w:rsidRDefault="004228FD" w:rsidP="000F6AE8">
            <w:pPr>
              <w:rPr>
                <w:rFonts w:cs="Calibri"/>
                <w:sz w:val="20"/>
                <w:szCs w:val="20"/>
              </w:rPr>
            </w:pPr>
          </w:p>
          <w:p w:rsidR="004228FD" w:rsidRPr="0081122E" w:rsidRDefault="004228FD" w:rsidP="000F6AE8">
            <w:pPr>
              <w:rPr>
                <w:rFonts w:cs="Calibri"/>
                <w:sz w:val="20"/>
                <w:szCs w:val="20"/>
              </w:rPr>
            </w:pPr>
          </w:p>
          <w:p w:rsidR="004228FD" w:rsidRPr="0081122E" w:rsidRDefault="004228FD" w:rsidP="000F6AE8">
            <w:pPr>
              <w:pStyle w:val="TableParagraph"/>
              <w:spacing w:line="200" w:lineRule="exact"/>
              <w:ind w:left="35" w:right="38"/>
              <w:rPr>
                <w:rFonts w:cs="Calibri"/>
                <w:sz w:val="20"/>
                <w:szCs w:val="20"/>
              </w:rPr>
            </w:pPr>
          </w:p>
        </w:tc>
        <w:tc>
          <w:tcPr>
            <w:tcW w:w="1086" w:type="pct"/>
            <w:tcBorders>
              <w:top w:val="single" w:sz="4" w:space="0" w:color="000000"/>
              <w:left w:val="single" w:sz="4" w:space="0" w:color="000000"/>
              <w:bottom w:val="single" w:sz="4" w:space="0" w:color="000000"/>
              <w:right w:val="single" w:sz="4" w:space="0" w:color="000000"/>
            </w:tcBorders>
          </w:tcPr>
          <w:p w:rsidR="0046260B" w:rsidRPr="00F71B89" w:rsidRDefault="0046260B" w:rsidP="0046260B">
            <w:pPr>
              <w:widowControl/>
              <w:rPr>
                <w:rFonts w:asciiTheme="minorHAnsi" w:hAnsiTheme="minorHAnsi" w:cstheme="minorHAnsi"/>
                <w:sz w:val="20"/>
                <w:szCs w:val="20"/>
              </w:rPr>
            </w:pPr>
          </w:p>
          <w:p w:rsidR="00910F37" w:rsidRDefault="00910F37" w:rsidP="00910F37">
            <w:pPr>
              <w:widowControl/>
              <w:contextualSpacing/>
              <w:rPr>
                <w:sz w:val="20"/>
                <w:szCs w:val="20"/>
              </w:rPr>
            </w:pPr>
            <w:r>
              <w:rPr>
                <w:sz w:val="20"/>
              </w:rPr>
              <w:t xml:space="preserve">L’un des principaux objectifs du Programme de placement en famille hôte (comme indiqué dans les directives </w:t>
            </w:r>
            <w:r w:rsidR="001753BA">
              <w:rPr>
                <w:sz w:val="20"/>
              </w:rPr>
              <w:t xml:space="preserve">en matière </w:t>
            </w:r>
            <w:r>
              <w:rPr>
                <w:sz w:val="20"/>
              </w:rPr>
              <w:t>de politique) est de permettre aux personnes de vivre dans un milieu familial sûr et sécuritaire</w:t>
            </w:r>
            <w:r w:rsidR="00B74868">
              <w:rPr>
                <w:sz w:val="20"/>
              </w:rPr>
              <w:t xml:space="preserve">. </w:t>
            </w:r>
            <w:r>
              <w:rPr>
                <w:sz w:val="20"/>
              </w:rPr>
              <w:t xml:space="preserve">Si le ministère reconnaît que les familles ont différentes formes et tailles, le plafonnement du nombre de placements au sein d’une résidence vise à promouvoir et entretenir le sentiment d’appartenance à la famille et à </w:t>
            </w:r>
            <w:r w:rsidR="001753BA">
              <w:rPr>
                <w:sz w:val="20"/>
              </w:rPr>
              <w:t xml:space="preserve">distinguer les résidences de famille hôte d’avec les autres soutiens résidentiels </w:t>
            </w:r>
            <w:r>
              <w:rPr>
                <w:sz w:val="20"/>
              </w:rPr>
              <w:t>(p. ex. résidences de groupe avec services de soutien).</w:t>
            </w:r>
          </w:p>
          <w:p w:rsidR="00910F37" w:rsidRDefault="00910F37" w:rsidP="00A3221D">
            <w:pPr>
              <w:autoSpaceDE w:val="0"/>
              <w:autoSpaceDN w:val="0"/>
              <w:adjustRightInd w:val="0"/>
              <w:rPr>
                <w:sz w:val="20"/>
                <w:szCs w:val="20"/>
              </w:rPr>
            </w:pPr>
          </w:p>
          <w:p w:rsidR="00A3221D" w:rsidRPr="00A3221D" w:rsidRDefault="00306A8B" w:rsidP="00A3221D">
            <w:pPr>
              <w:autoSpaceDE w:val="0"/>
              <w:autoSpaceDN w:val="0"/>
              <w:adjustRightInd w:val="0"/>
              <w:rPr>
                <w:rFonts w:cs="Calibri"/>
                <w:sz w:val="20"/>
                <w:szCs w:val="20"/>
              </w:rPr>
            </w:pPr>
            <w:r>
              <w:rPr>
                <w:sz w:val="20"/>
              </w:rPr>
              <w:t>Le ministère reconnaît en outre que certaines situations comportent des circonstances atténuantes et que des exceptions peu</w:t>
            </w:r>
            <w:r w:rsidR="00B74868">
              <w:rPr>
                <w:sz w:val="20"/>
              </w:rPr>
              <w:t>ven</w:t>
            </w:r>
            <w:r>
              <w:rPr>
                <w:sz w:val="20"/>
              </w:rPr>
              <w:t>t être prévues pour les familles d’accueil, les placements temporaires ou les personnes ayant un lien de parenté (frères et sœurs).</w:t>
            </w:r>
          </w:p>
          <w:p w:rsidR="004228FD" w:rsidRDefault="004228FD" w:rsidP="000F6AE8">
            <w:pPr>
              <w:autoSpaceDE w:val="0"/>
              <w:autoSpaceDN w:val="0"/>
              <w:adjustRightInd w:val="0"/>
              <w:rPr>
                <w:rFonts w:cs="Calibri"/>
                <w:sz w:val="20"/>
                <w:szCs w:val="20"/>
              </w:rPr>
            </w:pPr>
          </w:p>
          <w:p w:rsidR="004228FD" w:rsidRDefault="00A1004A" w:rsidP="000F6AE8">
            <w:pPr>
              <w:autoSpaceDE w:val="0"/>
              <w:autoSpaceDN w:val="0"/>
              <w:adjustRightInd w:val="0"/>
              <w:rPr>
                <w:rFonts w:cs="Calibri"/>
                <w:sz w:val="20"/>
                <w:szCs w:val="20"/>
              </w:rPr>
            </w:pPr>
            <w:r>
              <w:rPr>
                <w:sz w:val="20"/>
              </w:rPr>
              <w:t>L’organisme de service devrait envisager d’inclure cette exigence dans ses politiques et consignes écrites régissant le processus de présélection des familles hôtes.</w:t>
            </w:r>
          </w:p>
        </w:tc>
        <w:tc>
          <w:tcPr>
            <w:tcW w:w="393" w:type="pct"/>
            <w:tcBorders>
              <w:top w:val="single" w:sz="4" w:space="0" w:color="000000"/>
              <w:left w:val="single" w:sz="4" w:space="0" w:color="000000"/>
              <w:bottom w:val="single" w:sz="4" w:space="0" w:color="000000"/>
              <w:right w:val="single" w:sz="4" w:space="0" w:color="000000"/>
            </w:tcBorders>
          </w:tcPr>
          <w:p w:rsidR="0046260B" w:rsidRDefault="0046260B" w:rsidP="0046260B">
            <w:pPr>
              <w:jc w:val="center"/>
              <w:rPr>
                <w:rFonts w:cs="Calibri"/>
                <w:sz w:val="20"/>
                <w:szCs w:val="20"/>
              </w:rPr>
            </w:pPr>
          </w:p>
          <w:p w:rsidR="004228FD" w:rsidRDefault="001A0B33" w:rsidP="0046260B">
            <w:pPr>
              <w:jc w:val="center"/>
              <w:rPr>
                <w:rFonts w:cs="Calibri"/>
                <w:sz w:val="20"/>
                <w:szCs w:val="20"/>
              </w:rPr>
            </w:pPr>
            <w:r>
              <w:rPr>
                <w:sz w:val="20"/>
              </w:rPr>
              <w:t>ÉLEVÉ</w:t>
            </w:r>
          </w:p>
          <w:p w:rsidR="004228FD" w:rsidRPr="0081122E" w:rsidRDefault="004228FD" w:rsidP="000F6AE8">
            <w:pPr>
              <w:rPr>
                <w:rFonts w:cs="Calibri"/>
                <w:sz w:val="20"/>
                <w:szCs w:val="20"/>
              </w:rPr>
            </w:pPr>
          </w:p>
        </w:tc>
        <w:tc>
          <w:tcPr>
            <w:tcW w:w="833" w:type="pct"/>
            <w:tcBorders>
              <w:top w:val="single" w:sz="4" w:space="0" w:color="000000"/>
              <w:left w:val="single" w:sz="4" w:space="0" w:color="000000"/>
              <w:bottom w:val="single" w:sz="4" w:space="0" w:color="000000"/>
              <w:right w:val="single" w:sz="4" w:space="0" w:color="000000"/>
            </w:tcBorders>
          </w:tcPr>
          <w:p w:rsidR="0046260B" w:rsidRDefault="0046260B" w:rsidP="000F6AE8">
            <w:pPr>
              <w:autoSpaceDE w:val="0"/>
              <w:autoSpaceDN w:val="0"/>
              <w:adjustRightInd w:val="0"/>
              <w:rPr>
                <w:rFonts w:cs="Calibri"/>
                <w:sz w:val="20"/>
                <w:szCs w:val="20"/>
              </w:rPr>
            </w:pPr>
          </w:p>
          <w:p w:rsidR="004228FD" w:rsidRDefault="0046260B" w:rsidP="000F6AE8">
            <w:pPr>
              <w:autoSpaceDE w:val="0"/>
              <w:autoSpaceDN w:val="0"/>
              <w:adjustRightInd w:val="0"/>
              <w:rPr>
                <w:rFonts w:asciiTheme="minorHAnsi" w:hAnsiTheme="minorHAnsi" w:cstheme="minorHAnsi"/>
                <w:sz w:val="20"/>
                <w:szCs w:val="20"/>
              </w:rPr>
            </w:pPr>
            <w:r>
              <w:rPr>
                <w:sz w:val="20"/>
              </w:rPr>
              <w:t>Dossiers de recrutement; formulaires d’admission/de nouveau service; conventions de service; formulaires d’approbation provisoire; outils et documents de présélection; documents d’aiguillage; formulaires/lettres/courriels d’approbation envoyés à la famille hôte ou à d’autres organismes ou envoyés par d’autres organismes; documents écrits autorisant l’exception</w:t>
            </w:r>
            <w:r w:rsidR="00B74868">
              <w:rPr>
                <w:sz w:val="20"/>
              </w:rPr>
              <w:t xml:space="preserve">. </w:t>
            </w:r>
          </w:p>
          <w:p w:rsidR="004228FD" w:rsidRPr="00F71B89" w:rsidRDefault="004228FD" w:rsidP="000F6AE8">
            <w:pPr>
              <w:autoSpaceDE w:val="0"/>
              <w:autoSpaceDN w:val="0"/>
              <w:adjustRightInd w:val="0"/>
              <w:rPr>
                <w:rFonts w:asciiTheme="minorHAnsi" w:hAnsiTheme="minorHAnsi" w:cstheme="minorHAnsi"/>
                <w:sz w:val="20"/>
                <w:szCs w:val="20"/>
              </w:rPr>
            </w:pPr>
          </w:p>
          <w:p w:rsidR="004228FD" w:rsidRPr="00F71B89" w:rsidRDefault="004228FD" w:rsidP="000F6AE8">
            <w:pPr>
              <w:rPr>
                <w:rFonts w:asciiTheme="minorHAnsi" w:hAnsiTheme="minorHAnsi" w:cstheme="minorHAnsi"/>
                <w:sz w:val="20"/>
                <w:szCs w:val="20"/>
              </w:rPr>
            </w:pPr>
          </w:p>
          <w:p w:rsidR="004228FD" w:rsidRPr="0081122E" w:rsidRDefault="004228FD" w:rsidP="000F6AE8">
            <w:pPr>
              <w:pStyle w:val="ListParagraph"/>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46260B" w:rsidRDefault="0046260B" w:rsidP="000F6AE8">
            <w:pPr>
              <w:rPr>
                <w:rFonts w:cs="Calibri"/>
                <w:sz w:val="20"/>
                <w:szCs w:val="20"/>
              </w:rPr>
            </w:pPr>
          </w:p>
          <w:p w:rsidR="004228FD" w:rsidRDefault="009F0A48" w:rsidP="00322390">
            <w:pPr>
              <w:rPr>
                <w:rFonts w:cs="Calibri"/>
                <w:sz w:val="20"/>
                <w:szCs w:val="20"/>
              </w:rPr>
            </w:pPr>
            <w:r>
              <w:rPr>
                <w:color w:val="000000"/>
                <w:sz w:val="20"/>
              </w:rPr>
              <w:t>Aucune preuve ne permet de confirmer que l’organisme de service a documenté par écrit et versé au dossier l’ex</w:t>
            </w:r>
            <w:r w:rsidR="00322390">
              <w:rPr>
                <w:color w:val="000000"/>
                <w:sz w:val="20"/>
              </w:rPr>
              <w:t xml:space="preserve">ception </w:t>
            </w:r>
            <w:r>
              <w:rPr>
                <w:color w:val="000000"/>
                <w:sz w:val="20"/>
              </w:rPr>
              <w:t xml:space="preserve">accordée et/ou que l’organisme a, dans les 10 jours ouvrables qui suivent, avisé le ministère des dispositions aux termes desquelles l’organisme a approuvé </w:t>
            </w:r>
            <w:r w:rsidR="00322390">
              <w:rPr>
                <w:color w:val="000000"/>
                <w:sz w:val="20"/>
              </w:rPr>
              <w:t xml:space="preserve">l’exception </w:t>
            </w:r>
            <w:r>
              <w:rPr>
                <w:color w:val="000000"/>
                <w:sz w:val="20"/>
              </w:rPr>
              <w:t>ou les circonstances atténuantes.</w:t>
            </w:r>
          </w:p>
        </w:tc>
        <w:tc>
          <w:tcPr>
            <w:tcW w:w="636" w:type="pct"/>
            <w:tcBorders>
              <w:top w:val="single" w:sz="4" w:space="0" w:color="000000"/>
              <w:left w:val="single" w:sz="4" w:space="0" w:color="000000"/>
              <w:bottom w:val="single" w:sz="4" w:space="0" w:color="000000"/>
              <w:right w:val="single" w:sz="4" w:space="0" w:color="000000"/>
            </w:tcBorders>
          </w:tcPr>
          <w:p w:rsidR="0046260B" w:rsidRDefault="0046260B" w:rsidP="000F6AE8">
            <w:pPr>
              <w:rPr>
                <w:rFonts w:cs="Calibri"/>
                <w:sz w:val="20"/>
                <w:szCs w:val="20"/>
              </w:rPr>
            </w:pPr>
          </w:p>
          <w:p w:rsidR="004228FD" w:rsidRDefault="001A0B33" w:rsidP="000F6AE8">
            <w:pPr>
              <w:rPr>
                <w:rFonts w:cs="Calibri"/>
                <w:sz w:val="20"/>
                <w:szCs w:val="20"/>
              </w:rPr>
            </w:pPr>
            <w:r>
              <w:rPr>
                <w:sz w:val="20"/>
              </w:rPr>
              <w:t>Il est nécessaire, dans les 24 heures qui suivent la réception de la lettre de non-conformité, de fournir une réponse et/ou de justifier les actions réalisées en décrivant les mesures correctives et les délais de résolution du problème</w:t>
            </w:r>
            <w:r w:rsidR="00B74868">
              <w:rPr>
                <w:sz w:val="20"/>
              </w:rPr>
              <w:t>.</w:t>
            </w:r>
            <w:r>
              <w:rPr>
                <w:sz w:val="20"/>
              </w:rPr>
              <w:t xml:space="preserve"> Il convient d’envoyer, dans les 10 jours ouvrables, une lettre ou un document confirmant que la mesure corrective a été menée à bien.</w:t>
            </w:r>
          </w:p>
          <w:p w:rsidR="004228FD" w:rsidRPr="0081122E" w:rsidRDefault="004228FD"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4228FD" w:rsidRPr="0081122E"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spacing w:before="8" w:line="180" w:lineRule="exact"/>
              <w:rPr>
                <w:rFonts w:cs="Calibri"/>
              </w:rPr>
            </w:pPr>
          </w:p>
          <w:p w:rsidR="004228FD" w:rsidRPr="00C706A7" w:rsidRDefault="004228FD" w:rsidP="000F6AE8">
            <w:pPr>
              <w:pStyle w:val="Heading1"/>
              <w:jc w:val="center"/>
              <w:rPr>
                <w:rFonts w:asciiTheme="minorHAnsi" w:hAnsiTheme="minorHAnsi" w:cstheme="minorHAnsi"/>
                <w:b w:val="0"/>
                <w:sz w:val="24"/>
              </w:rPr>
            </w:pPr>
            <w:r>
              <w:rPr>
                <w:rFonts w:asciiTheme="minorHAnsi" w:hAnsiTheme="minorHAnsi" w:cstheme="minorHAnsi"/>
                <w:sz w:val="24"/>
              </w:rPr>
              <w:t>Dossiers et documents</w:t>
            </w:r>
          </w:p>
          <w:p w:rsidR="004228FD" w:rsidRPr="00F71B89" w:rsidRDefault="004228FD"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4228FD" w:rsidP="000F6AE8">
            <w:pPr>
              <w:pStyle w:val="TableParagraph"/>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983268" w:rsidP="000F6AE8">
            <w:pPr>
              <w:jc w:val="center"/>
              <w:rPr>
                <w:rFonts w:cs="Calibri"/>
              </w:rPr>
            </w:pPr>
            <w:r>
              <w:rPr>
                <w:b/>
              </w:rPr>
              <w:t>Risque</w:t>
            </w:r>
          </w:p>
        </w:tc>
        <w:tc>
          <w:tcPr>
            <w:tcW w:w="802"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spacing w:line="200" w:lineRule="exact"/>
              <w:jc w:val="center"/>
              <w:rPr>
                <w:rFonts w:cs="Calibri"/>
              </w:rPr>
            </w:pPr>
          </w:p>
          <w:p w:rsidR="004228FD" w:rsidRPr="00F71B89" w:rsidRDefault="004228FD" w:rsidP="000F6AE8">
            <w:pPr>
              <w:spacing w:line="200" w:lineRule="exact"/>
              <w:jc w:val="center"/>
              <w:rPr>
                <w:rFonts w:cs="Calibri"/>
                <w:b/>
              </w:rPr>
            </w:pPr>
          </w:p>
          <w:p w:rsidR="004228FD" w:rsidRPr="00F71B89" w:rsidRDefault="004228FD" w:rsidP="000F6AE8">
            <w:pPr>
              <w:spacing w:line="200" w:lineRule="exact"/>
              <w:jc w:val="center"/>
              <w:rPr>
                <w:rFonts w:cs="Calibri"/>
              </w:rPr>
            </w:pPr>
            <w:r>
              <w:rPr>
                <w:b/>
              </w:rPr>
              <w:t>Indicateur</w:t>
            </w:r>
          </w:p>
          <w:p w:rsidR="004228FD" w:rsidRPr="00F71B89" w:rsidRDefault="004228FD"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b/>
              </w:rPr>
            </w:pPr>
            <w:r>
              <w:rPr>
                <w:b/>
              </w:rPr>
              <w:t>Non-conformité constatée</w:t>
            </w:r>
          </w:p>
        </w:tc>
        <w:tc>
          <w:tcPr>
            <w:tcW w:w="636"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rPr>
            </w:pPr>
            <w:r>
              <w:rPr>
                <w:b/>
              </w:rPr>
              <w:t>Exigence de conformité</w:t>
            </w:r>
          </w:p>
        </w:tc>
      </w:tr>
      <w:tr w:rsidR="004228FD" w:rsidRPr="0081122E"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3B2910" w:rsidRDefault="003B2910" w:rsidP="003B2910">
            <w:pPr>
              <w:pStyle w:val="TableParagraph"/>
              <w:spacing w:before="48"/>
              <w:ind w:left="35"/>
              <w:rPr>
                <w:rFonts w:cs="Calibri"/>
                <w:sz w:val="20"/>
                <w:szCs w:val="20"/>
              </w:rPr>
            </w:pPr>
          </w:p>
          <w:p w:rsidR="004228FD" w:rsidRPr="0081122E" w:rsidRDefault="003B2910" w:rsidP="003B2910">
            <w:pPr>
              <w:pStyle w:val="TableParagraph"/>
              <w:spacing w:before="48"/>
              <w:rPr>
                <w:rFonts w:cs="Calibri"/>
                <w:sz w:val="20"/>
                <w:szCs w:val="20"/>
              </w:rPr>
            </w:pPr>
            <w:r>
              <w:rPr>
                <w:sz w:val="20"/>
              </w:rPr>
              <w:t>54. Étude du milieu familial</w:t>
            </w:r>
          </w:p>
          <w:p w:rsidR="004228FD" w:rsidRPr="0081122E" w:rsidRDefault="004228FD" w:rsidP="003B2910">
            <w:pPr>
              <w:pStyle w:val="TableParagraph"/>
              <w:spacing w:before="7" w:line="190" w:lineRule="exact"/>
              <w:rPr>
                <w:rFonts w:cs="Calibri"/>
                <w:sz w:val="20"/>
                <w:szCs w:val="20"/>
              </w:rPr>
            </w:pPr>
          </w:p>
          <w:p w:rsidR="00AC62B6" w:rsidRDefault="002C2035" w:rsidP="000F6AE8">
            <w:pPr>
              <w:rPr>
                <w:rFonts w:cs="Calibri"/>
                <w:sz w:val="20"/>
                <w:szCs w:val="20"/>
              </w:rPr>
            </w:pPr>
            <w:r>
              <w:rPr>
                <w:sz w:val="20"/>
              </w:rPr>
              <w:t>Les organismes de service doivent, à titre de norme de rendement minimale, étudier le milieu familial d’une famille hôte potentielle.</w:t>
            </w:r>
          </w:p>
          <w:p w:rsidR="002C2035" w:rsidRDefault="002C2035" w:rsidP="000F6AE8">
            <w:pPr>
              <w:rPr>
                <w:rFonts w:cs="Calibri"/>
                <w:sz w:val="20"/>
                <w:szCs w:val="20"/>
              </w:rPr>
            </w:pPr>
          </w:p>
          <w:p w:rsidR="004228FD" w:rsidRPr="0081122E" w:rsidRDefault="003B2910" w:rsidP="000F6AE8">
            <w:pPr>
              <w:rPr>
                <w:rFonts w:cs="Calibri"/>
                <w:sz w:val="20"/>
                <w:szCs w:val="20"/>
              </w:rPr>
            </w:pPr>
            <w:r>
              <w:rPr>
                <w:sz w:val="20"/>
              </w:rPr>
              <w:t>Directives en matière de politique s’appliquant aux organismes de service en ce qui a trait au Programme de placement en famille hôte 1.0</w:t>
            </w:r>
          </w:p>
          <w:p w:rsidR="004228FD" w:rsidRPr="0081122E" w:rsidRDefault="004228FD" w:rsidP="000F6AE8">
            <w:pPr>
              <w:rPr>
                <w:rFonts w:cs="Calibri"/>
                <w:sz w:val="20"/>
                <w:szCs w:val="20"/>
              </w:rPr>
            </w:pPr>
          </w:p>
          <w:p w:rsidR="004228FD" w:rsidRPr="0081122E" w:rsidRDefault="004228FD" w:rsidP="000F6AE8">
            <w:pPr>
              <w:pStyle w:val="TableParagraph"/>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4228FD" w:rsidRDefault="004228FD" w:rsidP="000F6AE8">
            <w:pPr>
              <w:pStyle w:val="ListParagraph"/>
              <w:rPr>
                <w:sz w:val="20"/>
              </w:rPr>
            </w:pPr>
          </w:p>
          <w:p w:rsidR="00120A9A" w:rsidRDefault="00120A9A" w:rsidP="00120A9A">
            <w:pPr>
              <w:rPr>
                <w:rFonts w:cs="Calibri"/>
                <w:sz w:val="20"/>
                <w:szCs w:val="20"/>
              </w:rPr>
            </w:pPr>
            <w:r>
              <w:rPr>
                <w:sz w:val="20"/>
              </w:rPr>
              <w:t xml:space="preserve">Lors de l’examen et de la présélection des familles hôtes, l’organisme doit prendre en compte un éventail de facteurs afin de décider en toute connaissance de cause s’il convient d’accepter ou non une famille potentielle. </w:t>
            </w:r>
          </w:p>
          <w:p w:rsidR="00120A9A" w:rsidRDefault="00120A9A" w:rsidP="00A3221D">
            <w:pPr>
              <w:widowControl/>
              <w:contextualSpacing/>
              <w:rPr>
                <w:sz w:val="20"/>
                <w:szCs w:val="20"/>
              </w:rPr>
            </w:pPr>
          </w:p>
          <w:p w:rsidR="00A3221D" w:rsidRPr="00A3221D" w:rsidRDefault="006B3829" w:rsidP="00A3221D">
            <w:pPr>
              <w:widowControl/>
              <w:contextualSpacing/>
              <w:rPr>
                <w:sz w:val="20"/>
                <w:szCs w:val="20"/>
              </w:rPr>
            </w:pPr>
            <w:r>
              <w:rPr>
                <w:sz w:val="20"/>
              </w:rPr>
              <w:t>La vérification de la sécurité matérielle de la résidence et du terrain, notamment en ce qui concerne la sécurité-incendie, la prévention des risques pour la santé et l’évaluation de la qualité de l’eau, le cas échéant, constitue un élément important du processus de présélection.</w:t>
            </w:r>
          </w:p>
          <w:p w:rsidR="004228FD" w:rsidRPr="00A3221D" w:rsidRDefault="004228FD" w:rsidP="00A3221D">
            <w:pPr>
              <w:pStyle w:val="ListParagraph"/>
              <w:rPr>
                <w:rFonts w:asciiTheme="minorHAnsi" w:hAnsiTheme="minorHAnsi" w:cstheme="minorHAnsi"/>
                <w:sz w:val="20"/>
                <w:szCs w:val="20"/>
              </w:rPr>
            </w:pPr>
          </w:p>
          <w:p w:rsidR="002C2035" w:rsidRDefault="002C2035" w:rsidP="002C2035">
            <w:pPr>
              <w:autoSpaceDE w:val="0"/>
              <w:autoSpaceDN w:val="0"/>
              <w:adjustRightInd w:val="0"/>
              <w:rPr>
                <w:rFonts w:cs="Calibri"/>
                <w:sz w:val="20"/>
                <w:szCs w:val="20"/>
              </w:rPr>
            </w:pPr>
            <w:r>
              <w:rPr>
                <w:sz w:val="20"/>
              </w:rPr>
              <w:t>L’organisme de service devrait envisager d’inclure cette exigence dans ses politiques et consignes écrites régissant le processus de présélection des familles hôtes.</w:t>
            </w:r>
          </w:p>
          <w:p w:rsidR="004228FD" w:rsidRDefault="004228FD" w:rsidP="000F6AE8">
            <w:pPr>
              <w:autoSpaceDE w:val="0"/>
              <w:autoSpaceDN w:val="0"/>
              <w:adjustRightInd w:val="0"/>
              <w:rPr>
                <w:rFonts w:cs="Calibri"/>
                <w:sz w:val="20"/>
                <w:szCs w:val="20"/>
              </w:rPr>
            </w:pPr>
          </w:p>
          <w:p w:rsidR="004228FD" w:rsidRDefault="004228FD" w:rsidP="000F6AE8">
            <w:pPr>
              <w:autoSpaceDE w:val="0"/>
              <w:autoSpaceDN w:val="0"/>
              <w:adjustRightInd w:val="0"/>
              <w:rPr>
                <w:rFonts w:cs="Calibri"/>
                <w:sz w:val="20"/>
                <w:szCs w:val="20"/>
              </w:rPr>
            </w:pPr>
          </w:p>
          <w:p w:rsidR="004228FD" w:rsidRDefault="004228FD" w:rsidP="000F6AE8">
            <w:pPr>
              <w:autoSpaceDE w:val="0"/>
              <w:autoSpaceDN w:val="0"/>
              <w:adjustRightInd w:val="0"/>
              <w:rPr>
                <w:rFonts w:cs="Calibri"/>
                <w:sz w:val="20"/>
                <w:szCs w:val="20"/>
              </w:rPr>
            </w:pPr>
          </w:p>
          <w:p w:rsidR="004228FD" w:rsidRDefault="004228FD" w:rsidP="000F6AE8">
            <w:pPr>
              <w:autoSpaceDE w:val="0"/>
              <w:autoSpaceDN w:val="0"/>
              <w:adjustRightInd w:val="0"/>
              <w:rPr>
                <w:rFonts w:cs="Calibri"/>
                <w:sz w:val="20"/>
                <w:szCs w:val="20"/>
              </w:rPr>
            </w:pPr>
          </w:p>
          <w:p w:rsidR="004228FD" w:rsidRDefault="004228FD" w:rsidP="000F6AE8">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3B2910" w:rsidRDefault="003B2910" w:rsidP="003B2910">
            <w:pPr>
              <w:rPr>
                <w:rFonts w:cs="Calibri"/>
                <w:sz w:val="20"/>
                <w:szCs w:val="20"/>
              </w:rPr>
            </w:pPr>
          </w:p>
          <w:p w:rsidR="004228FD" w:rsidRPr="0081122E" w:rsidRDefault="00B14788" w:rsidP="003B2910">
            <w:pPr>
              <w:jc w:val="center"/>
              <w:rPr>
                <w:rFonts w:cs="Calibri"/>
                <w:sz w:val="20"/>
                <w:szCs w:val="20"/>
              </w:rPr>
            </w:pPr>
            <w:r>
              <w:rPr>
                <w:sz w:val="20"/>
              </w:rPr>
              <w:t>ÉLEVÉ</w:t>
            </w:r>
          </w:p>
        </w:tc>
        <w:tc>
          <w:tcPr>
            <w:tcW w:w="802" w:type="pct"/>
            <w:tcBorders>
              <w:top w:val="single" w:sz="4" w:space="0" w:color="000000"/>
              <w:left w:val="single" w:sz="4" w:space="0" w:color="000000"/>
              <w:bottom w:val="single" w:sz="4" w:space="0" w:color="000000"/>
              <w:right w:val="single" w:sz="4" w:space="0" w:color="000000"/>
            </w:tcBorders>
          </w:tcPr>
          <w:p w:rsidR="003B2910" w:rsidRDefault="003B2910" w:rsidP="000F6AE8">
            <w:pPr>
              <w:autoSpaceDE w:val="0"/>
              <w:autoSpaceDN w:val="0"/>
              <w:adjustRightInd w:val="0"/>
              <w:rPr>
                <w:rFonts w:cs="Calibri"/>
                <w:sz w:val="20"/>
                <w:szCs w:val="20"/>
              </w:rPr>
            </w:pPr>
          </w:p>
          <w:p w:rsidR="004228FD" w:rsidRDefault="003B2910" w:rsidP="000F6AE8">
            <w:pPr>
              <w:autoSpaceDE w:val="0"/>
              <w:autoSpaceDN w:val="0"/>
              <w:adjustRightInd w:val="0"/>
              <w:rPr>
                <w:rFonts w:asciiTheme="minorHAnsi" w:hAnsiTheme="minorHAnsi" w:cstheme="minorHAnsi"/>
                <w:sz w:val="20"/>
                <w:szCs w:val="20"/>
              </w:rPr>
            </w:pPr>
            <w:r>
              <w:rPr>
                <w:sz w:val="20"/>
              </w:rPr>
              <w:t>Formulaires d’admission/de nouveau service; outils et documents de présélection; rapport d’étude du milieu familial rempli avant la date du placement.</w:t>
            </w:r>
          </w:p>
          <w:p w:rsidR="004228FD" w:rsidRPr="00F71B89" w:rsidRDefault="004228FD" w:rsidP="000F6AE8">
            <w:pPr>
              <w:autoSpaceDE w:val="0"/>
              <w:autoSpaceDN w:val="0"/>
              <w:adjustRightInd w:val="0"/>
              <w:rPr>
                <w:rFonts w:asciiTheme="minorHAnsi" w:hAnsiTheme="minorHAnsi" w:cstheme="minorHAnsi"/>
                <w:sz w:val="20"/>
                <w:szCs w:val="20"/>
              </w:rPr>
            </w:pPr>
          </w:p>
          <w:p w:rsidR="004228FD" w:rsidRPr="00F71B89" w:rsidRDefault="004228FD" w:rsidP="000F6AE8">
            <w:pPr>
              <w:rPr>
                <w:rFonts w:asciiTheme="minorHAnsi" w:hAnsiTheme="minorHAnsi" w:cstheme="minorHAnsi"/>
                <w:sz w:val="20"/>
                <w:szCs w:val="20"/>
              </w:rPr>
            </w:pPr>
          </w:p>
          <w:p w:rsidR="004228FD" w:rsidRPr="0081122E" w:rsidRDefault="004228FD" w:rsidP="000F6AE8">
            <w:pPr>
              <w:pStyle w:val="ListParagraph"/>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3B2910" w:rsidRDefault="003B2910" w:rsidP="000F6AE8">
            <w:pPr>
              <w:rPr>
                <w:rFonts w:cs="Calibri"/>
                <w:sz w:val="20"/>
                <w:szCs w:val="20"/>
              </w:rPr>
            </w:pPr>
          </w:p>
          <w:p w:rsidR="004228FD" w:rsidRDefault="00B24EFB" w:rsidP="00B24EFB">
            <w:pPr>
              <w:rPr>
                <w:rFonts w:cs="Calibri"/>
                <w:sz w:val="20"/>
                <w:szCs w:val="20"/>
              </w:rPr>
            </w:pPr>
            <w:r>
              <w:rPr>
                <w:sz w:val="20"/>
              </w:rPr>
              <w:t xml:space="preserve">Aucune preuve ne permet de confirmer que l’organisme de service a étudié le milieu familial d’une famille hôte potentielle. </w:t>
            </w:r>
          </w:p>
        </w:tc>
        <w:tc>
          <w:tcPr>
            <w:tcW w:w="636" w:type="pct"/>
            <w:tcBorders>
              <w:top w:val="single" w:sz="4" w:space="0" w:color="000000"/>
              <w:left w:val="single" w:sz="4" w:space="0" w:color="000000"/>
              <w:bottom w:val="single" w:sz="4" w:space="0" w:color="000000"/>
              <w:right w:val="single" w:sz="4" w:space="0" w:color="000000"/>
            </w:tcBorders>
          </w:tcPr>
          <w:p w:rsidR="003B2910" w:rsidRDefault="003B2910" w:rsidP="000F6AE8">
            <w:pPr>
              <w:rPr>
                <w:rFonts w:cs="Calibri"/>
                <w:sz w:val="20"/>
                <w:szCs w:val="20"/>
              </w:rPr>
            </w:pPr>
          </w:p>
          <w:p w:rsidR="004C260F" w:rsidRDefault="004C260F" w:rsidP="004C260F">
            <w:pPr>
              <w:rPr>
                <w:rFonts w:cs="Calibri"/>
                <w:sz w:val="20"/>
                <w:szCs w:val="20"/>
              </w:rPr>
            </w:pPr>
            <w:r w:rsidRPr="004C260F">
              <w:rPr>
                <w:sz w:val="20"/>
                <w:highlight w:val="yellow"/>
              </w:rPr>
              <w:t>Il est nécessaire, dans les 24 heures qui suivent la réception de la lettre de non-conformité, de fournir une réponse et/ou de justifier les actions réalisées en décrivant les mesures correctives et les délais de résolution du problème. Il convient d’envoyer, dans les 10 jours ouvrables, une lettre ou un document confirmant que la mesure corrective a été menée à bien.</w:t>
            </w:r>
          </w:p>
          <w:p w:rsidR="004228FD" w:rsidRDefault="004228FD" w:rsidP="000F6AE8">
            <w:pPr>
              <w:rPr>
                <w:rFonts w:cs="Calibri"/>
                <w:sz w:val="20"/>
                <w:szCs w:val="20"/>
              </w:rPr>
            </w:pPr>
          </w:p>
          <w:p w:rsidR="004228FD" w:rsidRPr="0081122E" w:rsidRDefault="004228FD"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4228FD" w:rsidRPr="0081122E"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spacing w:before="8" w:line="180" w:lineRule="exact"/>
              <w:rPr>
                <w:rFonts w:cs="Calibri"/>
              </w:rPr>
            </w:pPr>
          </w:p>
          <w:p w:rsidR="004228FD" w:rsidRPr="00C706A7" w:rsidRDefault="004228FD" w:rsidP="000F6AE8">
            <w:pPr>
              <w:pStyle w:val="Heading1"/>
              <w:jc w:val="center"/>
              <w:rPr>
                <w:rFonts w:asciiTheme="minorHAnsi" w:hAnsiTheme="minorHAnsi" w:cstheme="minorHAnsi"/>
                <w:b w:val="0"/>
                <w:sz w:val="24"/>
              </w:rPr>
            </w:pPr>
            <w:r>
              <w:rPr>
                <w:rFonts w:asciiTheme="minorHAnsi" w:hAnsiTheme="minorHAnsi" w:cstheme="minorHAnsi"/>
                <w:sz w:val="24"/>
              </w:rPr>
              <w:t>Dossiers et documents</w:t>
            </w:r>
          </w:p>
          <w:p w:rsidR="004228FD" w:rsidRPr="00F71B89" w:rsidRDefault="004228FD"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4228FD" w:rsidP="000F6AE8">
            <w:pPr>
              <w:pStyle w:val="TableParagraph"/>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983268" w:rsidP="000F6AE8">
            <w:pPr>
              <w:jc w:val="center"/>
              <w:rPr>
                <w:rFonts w:cs="Calibri"/>
              </w:rPr>
            </w:pPr>
            <w:r>
              <w:rPr>
                <w:b/>
              </w:rPr>
              <w:t>Risque</w:t>
            </w:r>
          </w:p>
        </w:tc>
        <w:tc>
          <w:tcPr>
            <w:tcW w:w="802"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spacing w:line="200" w:lineRule="exact"/>
              <w:jc w:val="center"/>
              <w:rPr>
                <w:rFonts w:cs="Calibri"/>
              </w:rPr>
            </w:pPr>
          </w:p>
          <w:p w:rsidR="004228FD" w:rsidRPr="00F71B89" w:rsidRDefault="004228FD" w:rsidP="000F6AE8">
            <w:pPr>
              <w:spacing w:line="200" w:lineRule="exact"/>
              <w:jc w:val="center"/>
              <w:rPr>
                <w:rFonts w:cs="Calibri"/>
                <w:b/>
              </w:rPr>
            </w:pPr>
          </w:p>
          <w:p w:rsidR="004228FD" w:rsidRPr="00F71B89" w:rsidRDefault="004228FD" w:rsidP="000F6AE8">
            <w:pPr>
              <w:spacing w:line="200" w:lineRule="exact"/>
              <w:jc w:val="center"/>
              <w:rPr>
                <w:rFonts w:cs="Calibri"/>
              </w:rPr>
            </w:pPr>
            <w:r>
              <w:rPr>
                <w:b/>
              </w:rPr>
              <w:t>Indicateur</w:t>
            </w:r>
          </w:p>
          <w:p w:rsidR="004228FD" w:rsidRPr="00F71B89" w:rsidRDefault="004228FD"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b/>
              </w:rPr>
            </w:pPr>
            <w:r>
              <w:rPr>
                <w:b/>
              </w:rPr>
              <w:t>Non-conformité constatée</w:t>
            </w:r>
          </w:p>
        </w:tc>
        <w:tc>
          <w:tcPr>
            <w:tcW w:w="636" w:type="pct"/>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rPr>
            </w:pPr>
            <w:r>
              <w:rPr>
                <w:b/>
              </w:rPr>
              <w:t>Exigence de conformité</w:t>
            </w:r>
          </w:p>
        </w:tc>
      </w:tr>
      <w:tr w:rsidR="00FA39C9" w:rsidRPr="0081122E"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FA39C9" w:rsidRDefault="00FA39C9" w:rsidP="00AE70EF">
            <w:pPr>
              <w:pStyle w:val="TableParagraph"/>
              <w:spacing w:before="48"/>
              <w:ind w:left="35"/>
              <w:rPr>
                <w:rFonts w:cs="Calibri"/>
                <w:sz w:val="20"/>
                <w:szCs w:val="20"/>
              </w:rPr>
            </w:pPr>
          </w:p>
          <w:p w:rsidR="00FA39C9" w:rsidRPr="004228FD" w:rsidRDefault="00FA39C9" w:rsidP="00FA39C9">
            <w:pPr>
              <w:spacing w:before="48"/>
              <w:ind w:left="35"/>
              <w:rPr>
                <w:rFonts w:cs="Calibri"/>
                <w:sz w:val="20"/>
                <w:szCs w:val="20"/>
              </w:rPr>
            </w:pPr>
            <w:r>
              <w:rPr>
                <w:sz w:val="20"/>
              </w:rPr>
              <w:t>55. Étude du milieu familial, entrevues</w:t>
            </w:r>
          </w:p>
          <w:p w:rsidR="00FA39C9" w:rsidRDefault="00FA39C9" w:rsidP="00FA39C9">
            <w:pPr>
              <w:widowControl/>
              <w:rPr>
                <w:rFonts w:cs="Calibri"/>
                <w:sz w:val="20"/>
                <w:szCs w:val="20"/>
              </w:rPr>
            </w:pPr>
          </w:p>
          <w:p w:rsidR="00711557" w:rsidRDefault="00CC6413" w:rsidP="00FA39C9">
            <w:pPr>
              <w:widowControl/>
              <w:rPr>
                <w:rFonts w:cs="Calibri"/>
                <w:sz w:val="20"/>
                <w:szCs w:val="20"/>
              </w:rPr>
            </w:pPr>
            <w:r>
              <w:rPr>
                <w:sz w:val="20"/>
              </w:rPr>
              <w:t>Les organismes de service sont tenus d’étudier le milieu familial d’une famille hôte potentielle en s’appuyant sur des entrevues réalisées par le personnel de l’organisme auprès des gens vivant dans la résidence.</w:t>
            </w:r>
          </w:p>
          <w:p w:rsidR="003611AB" w:rsidRDefault="003611AB" w:rsidP="00FA39C9">
            <w:pPr>
              <w:widowControl/>
              <w:rPr>
                <w:rFonts w:cs="Calibri"/>
                <w:sz w:val="20"/>
                <w:szCs w:val="20"/>
              </w:rPr>
            </w:pPr>
          </w:p>
          <w:p w:rsidR="00FA39C9" w:rsidRPr="004228FD" w:rsidRDefault="00FA39C9" w:rsidP="00FA39C9">
            <w:pPr>
              <w:widowControl/>
              <w:rPr>
                <w:rFonts w:cs="Calibri"/>
                <w:sz w:val="16"/>
                <w:szCs w:val="16"/>
              </w:rPr>
            </w:pPr>
            <w:r>
              <w:rPr>
                <w:sz w:val="20"/>
              </w:rPr>
              <w:t>Directives en matière de politique s’appliquant aux organismes de service en ce qui a trait au Programme de placement en famille hôte 1.0</w:t>
            </w:r>
          </w:p>
          <w:p w:rsidR="00FA39C9" w:rsidRPr="0081122E" w:rsidRDefault="00FA39C9" w:rsidP="000F6AE8">
            <w:pPr>
              <w:rPr>
                <w:rFonts w:cs="Calibri"/>
                <w:sz w:val="20"/>
                <w:szCs w:val="20"/>
              </w:rPr>
            </w:pPr>
          </w:p>
          <w:p w:rsidR="00FA39C9" w:rsidRPr="0081122E" w:rsidRDefault="00FA39C9" w:rsidP="000F6AE8">
            <w:pPr>
              <w:pStyle w:val="TableParagraph"/>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FA39C9" w:rsidRDefault="00FA39C9" w:rsidP="000F6AE8">
            <w:pPr>
              <w:autoSpaceDE w:val="0"/>
              <w:autoSpaceDN w:val="0"/>
              <w:adjustRightInd w:val="0"/>
              <w:rPr>
                <w:rFonts w:cs="Calibri"/>
                <w:sz w:val="20"/>
                <w:szCs w:val="20"/>
              </w:rPr>
            </w:pPr>
          </w:p>
          <w:p w:rsidR="006B3829" w:rsidRPr="00637B60" w:rsidRDefault="006B3829" w:rsidP="00637B60">
            <w:pPr>
              <w:rPr>
                <w:rFonts w:cs="Calibri"/>
                <w:sz w:val="20"/>
                <w:szCs w:val="20"/>
              </w:rPr>
            </w:pPr>
            <w:r>
              <w:rPr>
                <w:sz w:val="20"/>
              </w:rPr>
              <w:t xml:space="preserve">Lors de l’examen et de la présélection des familles hôtes, l’organisme doit prendre en compte un éventail de facteurs afin de décider en toute connaissance de cause s’il convient d’accepter ou non une famille potentielle. </w:t>
            </w:r>
          </w:p>
          <w:p w:rsidR="006B3829" w:rsidRDefault="006B3829" w:rsidP="004F4C7E">
            <w:pPr>
              <w:widowControl/>
              <w:autoSpaceDE w:val="0"/>
              <w:autoSpaceDN w:val="0"/>
              <w:adjustRightInd w:val="0"/>
              <w:spacing w:after="32"/>
              <w:contextualSpacing/>
              <w:rPr>
                <w:rFonts w:eastAsiaTheme="minorHAnsi" w:cs="Calibri"/>
                <w:sz w:val="20"/>
                <w:szCs w:val="20"/>
              </w:rPr>
            </w:pPr>
          </w:p>
          <w:p w:rsidR="004F4C7E" w:rsidRPr="004F4C7E" w:rsidRDefault="006B3829" w:rsidP="004F4C7E">
            <w:pPr>
              <w:widowControl/>
              <w:autoSpaceDE w:val="0"/>
              <w:autoSpaceDN w:val="0"/>
              <w:adjustRightInd w:val="0"/>
              <w:spacing w:after="32"/>
              <w:contextualSpacing/>
              <w:rPr>
                <w:rFonts w:eastAsiaTheme="minorHAnsi" w:cs="Calibri"/>
                <w:sz w:val="20"/>
                <w:szCs w:val="20"/>
              </w:rPr>
            </w:pPr>
            <w:r>
              <w:rPr>
                <w:rFonts w:eastAsiaTheme="minorHAnsi"/>
                <w:sz w:val="20"/>
              </w:rPr>
              <w:t xml:space="preserve">Les entretiens permettent d’obtenir une vision holistique de la dynamique familiale tenant compte des antécédents, de la philosophie, des attitudes et du mode de vie de la famille, ainsi que de ses capacités en matière de soutien. La discussion peut également porter sur la philosophie de la famille en ce qui concerne le tabagisme en règle générale ou le tabagisme à la maison, la consommation d’alcool, la présence d’animaux et les visites de membres de la famille naturelle de la personne placée et d’autres invités. </w:t>
            </w:r>
          </w:p>
          <w:p w:rsidR="00FA39C9" w:rsidRDefault="00FA39C9" w:rsidP="000F6AE8">
            <w:pPr>
              <w:autoSpaceDE w:val="0"/>
              <w:autoSpaceDN w:val="0"/>
              <w:adjustRightInd w:val="0"/>
              <w:rPr>
                <w:rFonts w:cs="Calibri"/>
                <w:sz w:val="20"/>
                <w:szCs w:val="20"/>
              </w:rPr>
            </w:pPr>
          </w:p>
          <w:p w:rsidR="003611AB" w:rsidRDefault="003611AB" w:rsidP="003611AB">
            <w:pPr>
              <w:autoSpaceDE w:val="0"/>
              <w:autoSpaceDN w:val="0"/>
              <w:adjustRightInd w:val="0"/>
              <w:rPr>
                <w:rFonts w:cs="Calibri"/>
                <w:sz w:val="20"/>
                <w:szCs w:val="20"/>
              </w:rPr>
            </w:pPr>
            <w:r>
              <w:rPr>
                <w:sz w:val="20"/>
              </w:rPr>
              <w:t>L’organisme de service devrait envisager d’inclure cette exigence dans ses politiques et consignes écrites régissant le processus de présélection des familles hôtes.</w:t>
            </w:r>
          </w:p>
          <w:p w:rsidR="00FA39C9" w:rsidRDefault="00FA39C9" w:rsidP="000F6AE8">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FA39C9" w:rsidRDefault="00FA39C9" w:rsidP="000F6AE8">
            <w:pPr>
              <w:rPr>
                <w:rFonts w:cs="Calibri"/>
                <w:sz w:val="20"/>
                <w:szCs w:val="20"/>
              </w:rPr>
            </w:pPr>
          </w:p>
          <w:p w:rsidR="00FA39C9" w:rsidRDefault="00B14788" w:rsidP="00AE70EF">
            <w:pPr>
              <w:jc w:val="center"/>
              <w:rPr>
                <w:rFonts w:cs="Calibri"/>
                <w:sz w:val="20"/>
                <w:szCs w:val="20"/>
              </w:rPr>
            </w:pPr>
            <w:r>
              <w:rPr>
                <w:sz w:val="20"/>
              </w:rPr>
              <w:t>ÉLEVÉ</w:t>
            </w:r>
          </w:p>
          <w:p w:rsidR="00FA39C9" w:rsidRPr="0081122E" w:rsidRDefault="00FA39C9" w:rsidP="000F6AE8">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FA39C9" w:rsidRDefault="00FA39C9" w:rsidP="00FC67C1">
            <w:pPr>
              <w:autoSpaceDE w:val="0"/>
              <w:autoSpaceDN w:val="0"/>
              <w:adjustRightInd w:val="0"/>
              <w:rPr>
                <w:rFonts w:cs="Calibri"/>
                <w:sz w:val="20"/>
                <w:szCs w:val="20"/>
              </w:rPr>
            </w:pPr>
          </w:p>
          <w:p w:rsidR="00FA39C9" w:rsidRPr="004228FD" w:rsidRDefault="00FA39C9" w:rsidP="00FC67C1">
            <w:pPr>
              <w:autoSpaceDE w:val="0"/>
              <w:autoSpaceDN w:val="0"/>
              <w:adjustRightInd w:val="0"/>
              <w:rPr>
                <w:rFonts w:asciiTheme="minorHAnsi" w:hAnsiTheme="minorHAnsi" w:cstheme="minorHAnsi"/>
                <w:sz w:val="20"/>
                <w:szCs w:val="20"/>
              </w:rPr>
            </w:pPr>
            <w:r>
              <w:rPr>
                <w:sz w:val="20"/>
              </w:rPr>
              <w:t>Rapport d’étude du milieu familial, lettres officielles, courriels.</w:t>
            </w:r>
            <w:r>
              <w:rPr>
                <w:rFonts w:asciiTheme="minorHAnsi" w:hAnsiTheme="minorHAnsi" w:cstheme="minorHAnsi"/>
                <w:sz w:val="20"/>
              </w:rPr>
              <w:t xml:space="preserve"> </w:t>
            </w:r>
          </w:p>
          <w:p w:rsidR="00FA39C9" w:rsidRPr="004228FD" w:rsidRDefault="00FA39C9" w:rsidP="00FC67C1">
            <w:pPr>
              <w:autoSpaceDE w:val="0"/>
              <w:autoSpaceDN w:val="0"/>
              <w:adjustRightInd w:val="0"/>
              <w:rPr>
                <w:rFonts w:asciiTheme="minorHAnsi" w:hAnsiTheme="minorHAnsi" w:cstheme="minorHAnsi"/>
                <w:sz w:val="20"/>
                <w:szCs w:val="20"/>
              </w:rPr>
            </w:pPr>
          </w:p>
          <w:p w:rsidR="00FA39C9" w:rsidRPr="004228FD" w:rsidRDefault="00FA39C9" w:rsidP="00FC67C1">
            <w:pPr>
              <w:rPr>
                <w:rFonts w:asciiTheme="minorHAnsi" w:hAnsiTheme="minorHAnsi" w:cstheme="minorHAnsi"/>
                <w:sz w:val="20"/>
                <w:szCs w:val="20"/>
              </w:rPr>
            </w:pPr>
          </w:p>
          <w:p w:rsidR="00FA39C9" w:rsidRPr="004228FD" w:rsidRDefault="00FA39C9" w:rsidP="00FC67C1">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FA39C9" w:rsidRDefault="00FA39C9" w:rsidP="00FC67C1">
            <w:pPr>
              <w:rPr>
                <w:rFonts w:cs="Calibri"/>
                <w:sz w:val="20"/>
                <w:szCs w:val="20"/>
              </w:rPr>
            </w:pPr>
          </w:p>
          <w:p w:rsidR="00FA39C9" w:rsidRPr="004228FD" w:rsidRDefault="00B24EFB" w:rsidP="00962F24">
            <w:pPr>
              <w:rPr>
                <w:rFonts w:cs="Calibri"/>
                <w:sz w:val="20"/>
                <w:szCs w:val="20"/>
              </w:rPr>
            </w:pPr>
            <w:r>
              <w:rPr>
                <w:sz w:val="20"/>
              </w:rPr>
              <w:t xml:space="preserve">Aucune preuve ne permet de confirmer que l’étude du milieu familial d’une famille hôte potentielle </w:t>
            </w:r>
            <w:r w:rsidR="004648F2">
              <w:rPr>
                <w:sz w:val="20"/>
              </w:rPr>
              <w:t>a été fondée</w:t>
            </w:r>
            <w:r>
              <w:rPr>
                <w:sz w:val="20"/>
              </w:rPr>
              <w:t xml:space="preserve"> sur des entrevues réalisées par le personnel de l’organisme auprès des gens vivant dans la résidence.</w:t>
            </w:r>
          </w:p>
        </w:tc>
        <w:tc>
          <w:tcPr>
            <w:tcW w:w="636" w:type="pct"/>
            <w:tcBorders>
              <w:top w:val="single" w:sz="4" w:space="0" w:color="000000"/>
              <w:left w:val="single" w:sz="4" w:space="0" w:color="000000"/>
              <w:bottom w:val="single" w:sz="4" w:space="0" w:color="000000"/>
              <w:right w:val="single" w:sz="4" w:space="0" w:color="000000"/>
            </w:tcBorders>
          </w:tcPr>
          <w:p w:rsidR="00FA39C9" w:rsidRDefault="00FA39C9" w:rsidP="00FC67C1">
            <w:pPr>
              <w:rPr>
                <w:rFonts w:cs="Calibri"/>
                <w:sz w:val="20"/>
                <w:szCs w:val="20"/>
              </w:rPr>
            </w:pPr>
          </w:p>
          <w:p w:rsidR="004C260F" w:rsidRDefault="004C260F" w:rsidP="004C260F">
            <w:pPr>
              <w:rPr>
                <w:rFonts w:cs="Calibri"/>
                <w:sz w:val="20"/>
                <w:szCs w:val="20"/>
              </w:rPr>
            </w:pPr>
            <w:r w:rsidRPr="004C260F">
              <w:rPr>
                <w:sz w:val="20"/>
                <w:highlight w:val="yellow"/>
              </w:rPr>
              <w:t>Il est nécessaire, dans les 24 heures qui suivent la réception de la lettre de non-conformité, de fournir une réponse et/ou de justifier les actions réalisées en décrivant les mesures correctives et les délais de résolution du problème. Il convient d’envoyer, dans les 10 jours ouvrables, une lettre ou un document confirmant que la mesure corrective a été menée à bien.</w:t>
            </w:r>
          </w:p>
          <w:p w:rsidR="00FA39C9" w:rsidRPr="004228FD" w:rsidRDefault="00FA39C9" w:rsidP="00FC67C1">
            <w:pPr>
              <w:rPr>
                <w:rFonts w:cs="Calibri"/>
                <w:sz w:val="20"/>
                <w:szCs w:val="20"/>
              </w:rPr>
            </w:pPr>
          </w:p>
          <w:p w:rsidR="00FA39C9" w:rsidRPr="004228FD" w:rsidRDefault="00FA39C9" w:rsidP="00FC67C1">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14870" w:type="dxa"/>
        <w:tblLayout w:type="fixed"/>
        <w:tblCellMar>
          <w:left w:w="0" w:type="dxa"/>
          <w:right w:w="0" w:type="dxa"/>
        </w:tblCellMar>
        <w:tblLook w:val="01E0" w:firstRow="1" w:lastRow="1" w:firstColumn="1" w:lastColumn="1" w:noHBand="0" w:noVBand="0"/>
      </w:tblPr>
      <w:tblGrid>
        <w:gridCol w:w="95"/>
        <w:gridCol w:w="3326"/>
        <w:gridCol w:w="104"/>
        <w:gridCol w:w="2557"/>
        <w:gridCol w:w="583"/>
        <w:gridCol w:w="747"/>
        <w:gridCol w:w="603"/>
        <w:gridCol w:w="2058"/>
        <w:gridCol w:w="328"/>
        <w:gridCol w:w="2249"/>
        <w:gridCol w:w="329"/>
        <w:gridCol w:w="1833"/>
        <w:gridCol w:w="58"/>
      </w:tblGrid>
      <w:tr w:rsidR="00F669E4" w:rsidRPr="0081122E" w:rsidTr="004228FD">
        <w:trPr>
          <w:gridBefore w:val="1"/>
          <w:gridAfter w:val="1"/>
          <w:wBefore w:w="95" w:type="dxa"/>
          <w:wAfter w:w="58" w:type="dxa"/>
          <w:trHeight w:hRule="exact" w:val="46"/>
        </w:trPr>
        <w:tc>
          <w:tcPr>
            <w:tcW w:w="3326" w:type="dxa"/>
            <w:tcBorders>
              <w:top w:val="single" w:sz="4" w:space="0" w:color="000000"/>
              <w:left w:val="single" w:sz="4" w:space="0" w:color="000000"/>
              <w:bottom w:val="single" w:sz="4" w:space="0" w:color="000000"/>
              <w:right w:val="single" w:sz="4" w:space="0" w:color="000000"/>
            </w:tcBorders>
          </w:tcPr>
          <w:p w:rsidR="00F669E4" w:rsidRPr="0081122E" w:rsidRDefault="00F669E4" w:rsidP="000A07B3">
            <w:pPr>
              <w:pStyle w:val="subsection-e"/>
              <w:rPr>
                <w:rFonts w:ascii="Calibri" w:hAnsi="Calibri" w:cs="Calibri"/>
                <w:sz w:val="20"/>
                <w:szCs w:val="20"/>
              </w:rPr>
            </w:pPr>
          </w:p>
        </w:tc>
        <w:tc>
          <w:tcPr>
            <w:tcW w:w="2661" w:type="dxa"/>
            <w:gridSpan w:val="2"/>
            <w:tcBorders>
              <w:top w:val="single" w:sz="4" w:space="0" w:color="000000"/>
              <w:left w:val="single" w:sz="4" w:space="0" w:color="000000"/>
              <w:bottom w:val="single" w:sz="4" w:space="0" w:color="000000"/>
              <w:right w:val="single" w:sz="4" w:space="0" w:color="000000"/>
            </w:tcBorders>
          </w:tcPr>
          <w:p w:rsidR="00F669E4" w:rsidRPr="0081122E" w:rsidRDefault="00F669E4" w:rsidP="00622305">
            <w:pPr>
              <w:rPr>
                <w:rFonts w:cs="Calibri"/>
                <w:sz w:val="20"/>
                <w:szCs w:val="20"/>
              </w:rPr>
            </w:pPr>
          </w:p>
        </w:tc>
        <w:tc>
          <w:tcPr>
            <w:tcW w:w="1330" w:type="dxa"/>
            <w:gridSpan w:val="2"/>
            <w:tcBorders>
              <w:top w:val="single" w:sz="4" w:space="0" w:color="000000"/>
              <w:left w:val="single" w:sz="4" w:space="0" w:color="000000"/>
              <w:bottom w:val="single" w:sz="4" w:space="0" w:color="000000"/>
              <w:right w:val="single" w:sz="4" w:space="0" w:color="000000"/>
            </w:tcBorders>
          </w:tcPr>
          <w:p w:rsidR="00F669E4" w:rsidRPr="0081122E" w:rsidRDefault="00F669E4" w:rsidP="00622305">
            <w:pPr>
              <w:rPr>
                <w:rFonts w:cs="Calibri"/>
                <w:sz w:val="20"/>
                <w:szCs w:val="20"/>
              </w:rPr>
            </w:pPr>
          </w:p>
        </w:tc>
        <w:tc>
          <w:tcPr>
            <w:tcW w:w="2661" w:type="dxa"/>
            <w:gridSpan w:val="2"/>
            <w:tcBorders>
              <w:top w:val="single" w:sz="4" w:space="0" w:color="000000"/>
              <w:left w:val="single" w:sz="4" w:space="0" w:color="000000"/>
              <w:bottom w:val="single" w:sz="4" w:space="0" w:color="000000"/>
              <w:right w:val="single" w:sz="4" w:space="0" w:color="000000"/>
            </w:tcBorders>
          </w:tcPr>
          <w:p w:rsidR="00F669E4" w:rsidRPr="0081122E" w:rsidRDefault="00F669E4" w:rsidP="00622305">
            <w:pPr>
              <w:rPr>
                <w:rFonts w:cs="Calibri"/>
                <w:sz w:val="20"/>
                <w:szCs w:val="20"/>
              </w:rPr>
            </w:pPr>
          </w:p>
        </w:tc>
        <w:tc>
          <w:tcPr>
            <w:tcW w:w="2577" w:type="dxa"/>
            <w:gridSpan w:val="2"/>
            <w:tcBorders>
              <w:top w:val="single" w:sz="4" w:space="0" w:color="000000"/>
              <w:left w:val="single" w:sz="4" w:space="0" w:color="000000"/>
              <w:bottom w:val="single" w:sz="4" w:space="0" w:color="000000"/>
              <w:right w:val="single" w:sz="4" w:space="0" w:color="000000"/>
            </w:tcBorders>
          </w:tcPr>
          <w:p w:rsidR="00F669E4" w:rsidRPr="0081122E" w:rsidRDefault="00F669E4">
            <w:pPr>
              <w:rPr>
                <w:rFonts w:cs="Calibri"/>
                <w:sz w:val="20"/>
                <w:szCs w:val="20"/>
              </w:rPr>
            </w:pPr>
          </w:p>
        </w:tc>
        <w:tc>
          <w:tcPr>
            <w:tcW w:w="2162" w:type="dxa"/>
            <w:gridSpan w:val="2"/>
            <w:tcBorders>
              <w:top w:val="single" w:sz="4" w:space="0" w:color="000000"/>
              <w:left w:val="single" w:sz="4" w:space="0" w:color="000000"/>
              <w:bottom w:val="single" w:sz="4" w:space="0" w:color="000000"/>
              <w:right w:val="single" w:sz="4" w:space="0" w:color="000000"/>
            </w:tcBorders>
          </w:tcPr>
          <w:p w:rsidR="00F669E4" w:rsidRPr="0081122E" w:rsidRDefault="00F669E4">
            <w:pPr>
              <w:rPr>
                <w:rFonts w:cs="Calibri"/>
                <w:sz w:val="20"/>
                <w:szCs w:val="20"/>
              </w:rPr>
            </w:pPr>
          </w:p>
        </w:tc>
      </w:tr>
      <w:tr w:rsidR="004228FD" w:rsidRPr="0081122E" w:rsidTr="00637B60">
        <w:trPr>
          <w:trHeight w:val="960"/>
        </w:trPr>
        <w:tc>
          <w:tcPr>
            <w:tcW w:w="3525" w:type="dxa"/>
            <w:gridSpan w:val="3"/>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spacing w:before="8" w:line="180" w:lineRule="exact"/>
              <w:rPr>
                <w:rFonts w:cs="Calibri"/>
              </w:rPr>
            </w:pPr>
          </w:p>
          <w:p w:rsidR="004228FD" w:rsidRPr="00C706A7" w:rsidRDefault="004228FD" w:rsidP="000F6AE8">
            <w:pPr>
              <w:pStyle w:val="Heading1"/>
              <w:jc w:val="center"/>
              <w:rPr>
                <w:rFonts w:asciiTheme="minorHAnsi" w:hAnsiTheme="minorHAnsi" w:cstheme="minorHAnsi"/>
                <w:b w:val="0"/>
                <w:sz w:val="24"/>
              </w:rPr>
            </w:pPr>
            <w:r>
              <w:rPr>
                <w:rFonts w:asciiTheme="minorHAnsi" w:hAnsiTheme="minorHAnsi" w:cstheme="minorHAnsi"/>
                <w:sz w:val="24"/>
              </w:rPr>
              <w:t>Dossiers et documents</w:t>
            </w:r>
          </w:p>
          <w:p w:rsidR="004228FD" w:rsidRPr="00F71B89" w:rsidRDefault="004228FD" w:rsidP="000F6AE8">
            <w:pPr>
              <w:jc w:val="center"/>
              <w:rPr>
                <w:rFonts w:cs="Calibri"/>
              </w:rPr>
            </w:pPr>
          </w:p>
        </w:tc>
        <w:tc>
          <w:tcPr>
            <w:tcW w:w="3140" w:type="dxa"/>
            <w:gridSpan w:val="2"/>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4228FD" w:rsidP="000F6AE8">
            <w:pPr>
              <w:pStyle w:val="TableParagraph"/>
              <w:jc w:val="center"/>
              <w:rPr>
                <w:rFonts w:cs="Calibri"/>
                <w:b/>
              </w:rPr>
            </w:pPr>
            <w:r>
              <w:rPr>
                <w:b/>
              </w:rPr>
              <w:t>But</w:t>
            </w:r>
          </w:p>
        </w:tc>
        <w:tc>
          <w:tcPr>
            <w:tcW w:w="1350" w:type="dxa"/>
            <w:gridSpan w:val="2"/>
            <w:tcBorders>
              <w:top w:val="single" w:sz="4" w:space="0" w:color="000000"/>
              <w:left w:val="single" w:sz="4" w:space="0" w:color="000000"/>
              <w:right w:val="single" w:sz="4" w:space="0" w:color="000000"/>
            </w:tcBorders>
            <w:shd w:val="clear" w:color="auto" w:fill="BFBFBF"/>
          </w:tcPr>
          <w:p w:rsidR="004228FD" w:rsidRPr="00F71B89" w:rsidRDefault="004228FD" w:rsidP="000F6AE8">
            <w:pPr>
              <w:pStyle w:val="TableParagraph"/>
              <w:jc w:val="center"/>
              <w:rPr>
                <w:rFonts w:cs="Calibri"/>
                <w:b/>
              </w:rPr>
            </w:pPr>
          </w:p>
          <w:p w:rsidR="004228FD" w:rsidRPr="00F71B89" w:rsidRDefault="00983268" w:rsidP="000F6AE8">
            <w:pPr>
              <w:jc w:val="center"/>
              <w:rPr>
                <w:rFonts w:cs="Calibri"/>
              </w:rPr>
            </w:pPr>
            <w:r>
              <w:rPr>
                <w:b/>
              </w:rPr>
              <w:t>Risque</w:t>
            </w:r>
          </w:p>
        </w:tc>
        <w:tc>
          <w:tcPr>
            <w:tcW w:w="2386" w:type="dxa"/>
            <w:gridSpan w:val="2"/>
            <w:tcBorders>
              <w:top w:val="single" w:sz="4" w:space="0" w:color="000000"/>
              <w:left w:val="single" w:sz="4" w:space="0" w:color="000000"/>
              <w:right w:val="single" w:sz="4" w:space="0" w:color="000000"/>
            </w:tcBorders>
            <w:shd w:val="clear" w:color="auto" w:fill="BFBFBF"/>
          </w:tcPr>
          <w:p w:rsidR="004228FD" w:rsidRPr="00F71B89" w:rsidRDefault="004228FD" w:rsidP="000F6AE8">
            <w:pPr>
              <w:spacing w:line="200" w:lineRule="exact"/>
              <w:jc w:val="center"/>
              <w:rPr>
                <w:rFonts w:cs="Calibri"/>
              </w:rPr>
            </w:pPr>
          </w:p>
          <w:p w:rsidR="004228FD" w:rsidRPr="00F71B89" w:rsidRDefault="004228FD" w:rsidP="000F6AE8">
            <w:pPr>
              <w:spacing w:line="200" w:lineRule="exact"/>
              <w:jc w:val="center"/>
              <w:rPr>
                <w:rFonts w:cs="Calibri"/>
                <w:b/>
              </w:rPr>
            </w:pPr>
          </w:p>
          <w:p w:rsidR="004228FD" w:rsidRPr="00F71B89" w:rsidRDefault="004228FD" w:rsidP="000F6AE8">
            <w:pPr>
              <w:spacing w:line="200" w:lineRule="exact"/>
              <w:jc w:val="center"/>
              <w:rPr>
                <w:rFonts w:cs="Calibri"/>
              </w:rPr>
            </w:pPr>
            <w:r>
              <w:rPr>
                <w:b/>
              </w:rPr>
              <w:t>Indicateur</w:t>
            </w:r>
          </w:p>
          <w:p w:rsidR="004228FD" w:rsidRPr="00F71B89" w:rsidRDefault="004228FD" w:rsidP="000F6AE8">
            <w:pPr>
              <w:rPr>
                <w:rFonts w:cs="Calibri"/>
              </w:rPr>
            </w:pPr>
          </w:p>
        </w:tc>
        <w:tc>
          <w:tcPr>
            <w:tcW w:w="2578" w:type="dxa"/>
            <w:gridSpan w:val="2"/>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b/>
              </w:rPr>
            </w:pPr>
            <w:r>
              <w:rPr>
                <w:b/>
              </w:rPr>
              <w:t>Non-conformité constatée</w:t>
            </w:r>
          </w:p>
        </w:tc>
        <w:tc>
          <w:tcPr>
            <w:tcW w:w="1891" w:type="dxa"/>
            <w:gridSpan w:val="2"/>
            <w:tcBorders>
              <w:top w:val="single" w:sz="4" w:space="0" w:color="000000"/>
              <w:left w:val="single" w:sz="4" w:space="0" w:color="000000"/>
              <w:right w:val="single" w:sz="4" w:space="0" w:color="000000"/>
            </w:tcBorders>
            <w:shd w:val="clear" w:color="auto" w:fill="BFBFBF"/>
          </w:tcPr>
          <w:p w:rsidR="004228FD" w:rsidRPr="00F71B89" w:rsidRDefault="004228FD" w:rsidP="000F6AE8">
            <w:pPr>
              <w:jc w:val="center"/>
              <w:rPr>
                <w:rFonts w:cs="Calibri"/>
                <w:b/>
              </w:rPr>
            </w:pPr>
          </w:p>
          <w:p w:rsidR="004228FD" w:rsidRPr="00F71B89" w:rsidRDefault="004228FD" w:rsidP="000F6AE8">
            <w:pPr>
              <w:jc w:val="center"/>
              <w:rPr>
                <w:rFonts w:cs="Calibri"/>
              </w:rPr>
            </w:pPr>
            <w:r>
              <w:rPr>
                <w:b/>
              </w:rPr>
              <w:t>Exigence de conformité</w:t>
            </w:r>
          </w:p>
        </w:tc>
      </w:tr>
      <w:tr w:rsidR="004228FD" w:rsidRPr="0081122E" w:rsidTr="00637B60">
        <w:trPr>
          <w:trHeight w:hRule="exact" w:val="7818"/>
        </w:trPr>
        <w:tc>
          <w:tcPr>
            <w:tcW w:w="3525" w:type="dxa"/>
            <w:gridSpan w:val="3"/>
            <w:tcBorders>
              <w:top w:val="single" w:sz="4" w:space="0" w:color="000000"/>
              <w:left w:val="single" w:sz="4" w:space="0" w:color="000000"/>
              <w:bottom w:val="single" w:sz="4" w:space="0" w:color="000000"/>
              <w:right w:val="single" w:sz="4" w:space="0" w:color="000000"/>
            </w:tcBorders>
            <w:shd w:val="clear" w:color="auto" w:fill="auto"/>
          </w:tcPr>
          <w:p w:rsidR="00AE70EF" w:rsidRDefault="00AE70EF" w:rsidP="00AE70EF">
            <w:pPr>
              <w:pStyle w:val="TableParagraph"/>
              <w:spacing w:before="48"/>
              <w:rPr>
                <w:rFonts w:cs="Calibri"/>
                <w:sz w:val="20"/>
                <w:szCs w:val="20"/>
              </w:rPr>
            </w:pPr>
          </w:p>
          <w:p w:rsidR="004228FD" w:rsidRPr="0081122E" w:rsidRDefault="00AE70EF" w:rsidP="00AE70EF">
            <w:pPr>
              <w:pStyle w:val="TableParagraph"/>
              <w:spacing w:before="48"/>
              <w:rPr>
                <w:rFonts w:cs="Calibri"/>
                <w:sz w:val="20"/>
                <w:szCs w:val="20"/>
              </w:rPr>
            </w:pPr>
            <w:r>
              <w:rPr>
                <w:sz w:val="20"/>
              </w:rPr>
              <w:t>56. Étude du milieu familial, références</w:t>
            </w:r>
          </w:p>
          <w:p w:rsidR="004228FD" w:rsidRPr="0081122E" w:rsidRDefault="004228FD" w:rsidP="00AE70EF">
            <w:pPr>
              <w:pStyle w:val="TableParagraph"/>
              <w:spacing w:before="7" w:line="190" w:lineRule="exact"/>
              <w:rPr>
                <w:rFonts w:cs="Calibri"/>
                <w:sz w:val="20"/>
                <w:szCs w:val="20"/>
              </w:rPr>
            </w:pPr>
          </w:p>
          <w:p w:rsidR="00711557" w:rsidRDefault="00CC6413" w:rsidP="000F6AE8">
            <w:pPr>
              <w:rPr>
                <w:rFonts w:cs="Calibri"/>
                <w:sz w:val="20"/>
                <w:szCs w:val="20"/>
              </w:rPr>
            </w:pPr>
            <w:r>
              <w:rPr>
                <w:sz w:val="20"/>
              </w:rPr>
              <w:t xml:space="preserve">Les organismes de service sont tenus d’étudier le milieu familial d’une famille hôte potentielle en examinant les références morales et les résultats d’une vérification des dossiers de police, incluant une vérification des antécédents en vue d’un travail auprès de personnes vulnérables (réalisée </w:t>
            </w:r>
            <w:r w:rsidR="00962F24">
              <w:rPr>
                <w:sz w:val="20"/>
              </w:rPr>
              <w:t>au cours des</w:t>
            </w:r>
            <w:r>
              <w:rPr>
                <w:sz w:val="20"/>
              </w:rPr>
              <w:t xml:space="preserve"> six derniers mois) pour tous les adultes vivant à temps plein ou à temps partiel dans la résidence de la famille hôte.</w:t>
            </w:r>
          </w:p>
          <w:p w:rsidR="00CC6413" w:rsidRDefault="00CC6413" w:rsidP="000F6AE8">
            <w:pPr>
              <w:rPr>
                <w:rFonts w:cs="Calibri"/>
                <w:sz w:val="20"/>
                <w:szCs w:val="20"/>
              </w:rPr>
            </w:pPr>
          </w:p>
          <w:p w:rsidR="004228FD" w:rsidRPr="0081122E" w:rsidRDefault="00381EE6" w:rsidP="000F6AE8">
            <w:pPr>
              <w:rPr>
                <w:rFonts w:cs="Calibri"/>
                <w:sz w:val="20"/>
                <w:szCs w:val="20"/>
              </w:rPr>
            </w:pPr>
            <w:r>
              <w:rPr>
                <w:sz w:val="20"/>
              </w:rPr>
              <w:t>Directives en matière de politique s’appliquant aux organismes de service en ce qui a trait au Programme de placement en famille hôte 1.0</w:t>
            </w:r>
          </w:p>
          <w:p w:rsidR="004228FD" w:rsidRPr="0081122E" w:rsidRDefault="004228FD" w:rsidP="000F6AE8">
            <w:pPr>
              <w:rPr>
                <w:rFonts w:cs="Calibri"/>
                <w:sz w:val="20"/>
                <w:szCs w:val="20"/>
              </w:rPr>
            </w:pPr>
          </w:p>
          <w:p w:rsidR="004228FD" w:rsidRPr="0081122E" w:rsidRDefault="004228FD" w:rsidP="000F6AE8">
            <w:pPr>
              <w:pStyle w:val="TableParagraph"/>
              <w:spacing w:line="200" w:lineRule="exact"/>
              <w:ind w:left="35" w:right="38"/>
              <w:rPr>
                <w:rFonts w:cs="Calibri"/>
                <w:sz w:val="20"/>
                <w:szCs w:val="20"/>
              </w:rPr>
            </w:pPr>
          </w:p>
        </w:tc>
        <w:tc>
          <w:tcPr>
            <w:tcW w:w="3140" w:type="dxa"/>
            <w:gridSpan w:val="2"/>
            <w:tcBorders>
              <w:top w:val="single" w:sz="4" w:space="0" w:color="000000"/>
              <w:left w:val="single" w:sz="4" w:space="0" w:color="000000"/>
              <w:bottom w:val="single" w:sz="4" w:space="0" w:color="000000"/>
              <w:right w:val="single" w:sz="4" w:space="0" w:color="000000"/>
            </w:tcBorders>
          </w:tcPr>
          <w:p w:rsidR="004228FD" w:rsidRDefault="004228FD" w:rsidP="000F6AE8">
            <w:pPr>
              <w:autoSpaceDE w:val="0"/>
              <w:autoSpaceDN w:val="0"/>
              <w:adjustRightInd w:val="0"/>
              <w:rPr>
                <w:rFonts w:cs="Calibri"/>
                <w:sz w:val="20"/>
                <w:szCs w:val="20"/>
              </w:rPr>
            </w:pPr>
          </w:p>
          <w:p w:rsidR="006B3829" w:rsidRDefault="006B3829" w:rsidP="00637B60">
            <w:pPr>
              <w:rPr>
                <w:rFonts w:cs="Calibri"/>
                <w:sz w:val="20"/>
                <w:szCs w:val="20"/>
              </w:rPr>
            </w:pPr>
            <w:r>
              <w:rPr>
                <w:sz w:val="20"/>
              </w:rPr>
              <w:t xml:space="preserve">Lors de l’examen et de la présélection des familles hôtes, l’organisme doit prendre en compte un éventail de facteurs afin de décider en toute connaissance de cause s’il convient d’accepter ou non une famille potentielle. </w:t>
            </w:r>
          </w:p>
          <w:p w:rsidR="00A3221D" w:rsidRPr="00A3221D" w:rsidRDefault="00A3221D" w:rsidP="00A3221D">
            <w:pPr>
              <w:widowControl/>
              <w:contextualSpacing/>
              <w:rPr>
                <w:rFonts w:cs="Calibri"/>
                <w:sz w:val="20"/>
                <w:szCs w:val="20"/>
              </w:rPr>
            </w:pPr>
          </w:p>
          <w:p w:rsidR="004228FD" w:rsidRPr="00A3221D" w:rsidRDefault="00A3221D" w:rsidP="00A3221D">
            <w:pPr>
              <w:autoSpaceDE w:val="0"/>
              <w:autoSpaceDN w:val="0"/>
              <w:adjustRightInd w:val="0"/>
              <w:rPr>
                <w:rFonts w:cs="Calibri"/>
                <w:sz w:val="20"/>
                <w:szCs w:val="20"/>
              </w:rPr>
            </w:pPr>
            <w:r>
              <w:rPr>
                <w:sz w:val="20"/>
              </w:rPr>
              <w:t>Tous les résidents adultes à temps partiel et à temps plein et les fournisseurs de soins de relève doivent faire l’objet d’une présélection, incluant une vérification des dossiers de police.</w:t>
            </w:r>
          </w:p>
          <w:p w:rsidR="004228FD" w:rsidRDefault="004228FD" w:rsidP="000F6AE8">
            <w:pPr>
              <w:autoSpaceDE w:val="0"/>
              <w:autoSpaceDN w:val="0"/>
              <w:adjustRightInd w:val="0"/>
              <w:rPr>
                <w:rFonts w:cs="Calibri"/>
                <w:sz w:val="20"/>
                <w:szCs w:val="20"/>
              </w:rPr>
            </w:pPr>
          </w:p>
          <w:p w:rsidR="00CB5EED" w:rsidRDefault="00CB5EED" w:rsidP="00CB5EED">
            <w:pPr>
              <w:autoSpaceDE w:val="0"/>
              <w:autoSpaceDN w:val="0"/>
              <w:adjustRightInd w:val="0"/>
              <w:rPr>
                <w:rFonts w:cs="Calibri"/>
                <w:sz w:val="20"/>
                <w:szCs w:val="20"/>
              </w:rPr>
            </w:pPr>
            <w:r>
              <w:rPr>
                <w:sz w:val="20"/>
              </w:rPr>
              <w:t>L’organisme de service devrait envisager d’inclure cette exigence dans ses politiques et consignes écrites régissant le processus de présélection des familles hôtes.</w:t>
            </w:r>
          </w:p>
          <w:p w:rsidR="004228FD" w:rsidRDefault="004228FD" w:rsidP="000F6AE8">
            <w:pPr>
              <w:autoSpaceDE w:val="0"/>
              <w:autoSpaceDN w:val="0"/>
              <w:adjustRightInd w:val="0"/>
              <w:rPr>
                <w:rFonts w:cs="Calibri"/>
                <w:sz w:val="20"/>
                <w:szCs w:val="20"/>
              </w:rPr>
            </w:pPr>
          </w:p>
        </w:tc>
        <w:tc>
          <w:tcPr>
            <w:tcW w:w="1350" w:type="dxa"/>
            <w:gridSpan w:val="2"/>
            <w:tcBorders>
              <w:top w:val="single" w:sz="4" w:space="0" w:color="000000"/>
              <w:left w:val="single" w:sz="4" w:space="0" w:color="000000"/>
              <w:bottom w:val="single" w:sz="4" w:space="0" w:color="000000"/>
              <w:right w:val="single" w:sz="4" w:space="0" w:color="000000"/>
            </w:tcBorders>
          </w:tcPr>
          <w:p w:rsidR="00AE70EF" w:rsidRDefault="00AE70EF" w:rsidP="000F6AE8">
            <w:pPr>
              <w:rPr>
                <w:rFonts w:cs="Calibri"/>
                <w:sz w:val="20"/>
                <w:szCs w:val="20"/>
              </w:rPr>
            </w:pPr>
          </w:p>
          <w:p w:rsidR="004228FD" w:rsidRDefault="00B14788" w:rsidP="00AE70EF">
            <w:pPr>
              <w:jc w:val="center"/>
              <w:rPr>
                <w:rFonts w:cs="Calibri"/>
                <w:sz w:val="20"/>
                <w:szCs w:val="20"/>
              </w:rPr>
            </w:pPr>
            <w:r>
              <w:rPr>
                <w:sz w:val="20"/>
              </w:rPr>
              <w:t>ÉLEVÉ</w:t>
            </w:r>
          </w:p>
          <w:p w:rsidR="004228FD" w:rsidRPr="0081122E" w:rsidRDefault="004228FD" w:rsidP="000F6AE8">
            <w:pPr>
              <w:rPr>
                <w:rFonts w:cs="Calibri"/>
                <w:sz w:val="20"/>
                <w:szCs w:val="20"/>
              </w:rPr>
            </w:pPr>
          </w:p>
        </w:tc>
        <w:tc>
          <w:tcPr>
            <w:tcW w:w="2386" w:type="dxa"/>
            <w:gridSpan w:val="2"/>
            <w:tcBorders>
              <w:top w:val="single" w:sz="4" w:space="0" w:color="000000"/>
              <w:left w:val="single" w:sz="4" w:space="0" w:color="000000"/>
              <w:bottom w:val="single" w:sz="4" w:space="0" w:color="000000"/>
              <w:right w:val="single" w:sz="4" w:space="0" w:color="000000"/>
            </w:tcBorders>
          </w:tcPr>
          <w:p w:rsidR="00AE70EF" w:rsidRDefault="00AE70EF" w:rsidP="000F6AE8">
            <w:pPr>
              <w:autoSpaceDE w:val="0"/>
              <w:autoSpaceDN w:val="0"/>
              <w:adjustRightInd w:val="0"/>
              <w:rPr>
                <w:rFonts w:cs="Calibri"/>
                <w:sz w:val="20"/>
                <w:szCs w:val="20"/>
              </w:rPr>
            </w:pPr>
          </w:p>
          <w:p w:rsidR="004228FD" w:rsidRDefault="00381EE6" w:rsidP="000F6AE8">
            <w:pPr>
              <w:autoSpaceDE w:val="0"/>
              <w:autoSpaceDN w:val="0"/>
              <w:adjustRightInd w:val="0"/>
              <w:rPr>
                <w:rFonts w:asciiTheme="minorHAnsi" w:hAnsiTheme="minorHAnsi" w:cstheme="minorHAnsi"/>
                <w:sz w:val="20"/>
                <w:szCs w:val="20"/>
              </w:rPr>
            </w:pPr>
            <w:r>
              <w:rPr>
                <w:sz w:val="20"/>
              </w:rPr>
              <w:t>Rapport d’étude du milieu familial; résultats d’une vérification des dossiers de police réalisée dans les six mois précédant la prestation du soutien, incluant une vérification des antécédents en vue d’un travail auprès de personnes vulnérables; références morales.</w:t>
            </w:r>
          </w:p>
          <w:p w:rsidR="004228FD" w:rsidRPr="00F71B89" w:rsidRDefault="004228FD" w:rsidP="000F6AE8">
            <w:pPr>
              <w:autoSpaceDE w:val="0"/>
              <w:autoSpaceDN w:val="0"/>
              <w:adjustRightInd w:val="0"/>
              <w:rPr>
                <w:rFonts w:asciiTheme="minorHAnsi" w:hAnsiTheme="minorHAnsi" w:cstheme="minorHAnsi"/>
                <w:sz w:val="20"/>
                <w:szCs w:val="20"/>
              </w:rPr>
            </w:pPr>
          </w:p>
          <w:p w:rsidR="004228FD" w:rsidRPr="00F71B89" w:rsidRDefault="004228FD" w:rsidP="000F6AE8">
            <w:pPr>
              <w:rPr>
                <w:rFonts w:asciiTheme="minorHAnsi" w:hAnsiTheme="minorHAnsi" w:cstheme="minorHAnsi"/>
                <w:sz w:val="20"/>
                <w:szCs w:val="20"/>
              </w:rPr>
            </w:pPr>
          </w:p>
          <w:p w:rsidR="004228FD" w:rsidRPr="0081122E" w:rsidRDefault="004228FD" w:rsidP="000F6AE8">
            <w:pPr>
              <w:pStyle w:val="ListParagraph"/>
              <w:rPr>
                <w:rFonts w:cs="Calibri"/>
                <w:sz w:val="20"/>
                <w:szCs w:val="20"/>
              </w:rPr>
            </w:pPr>
          </w:p>
        </w:tc>
        <w:tc>
          <w:tcPr>
            <w:tcW w:w="2578" w:type="dxa"/>
            <w:gridSpan w:val="2"/>
            <w:tcBorders>
              <w:top w:val="single" w:sz="4" w:space="0" w:color="000000"/>
              <w:left w:val="single" w:sz="4" w:space="0" w:color="000000"/>
              <w:bottom w:val="single" w:sz="4" w:space="0" w:color="000000"/>
              <w:right w:val="single" w:sz="4" w:space="0" w:color="000000"/>
            </w:tcBorders>
          </w:tcPr>
          <w:p w:rsidR="00AE70EF" w:rsidRDefault="00AE70EF" w:rsidP="000F6AE8">
            <w:pPr>
              <w:rPr>
                <w:rFonts w:cs="Calibri"/>
                <w:sz w:val="20"/>
                <w:szCs w:val="20"/>
              </w:rPr>
            </w:pPr>
          </w:p>
          <w:p w:rsidR="004228FD" w:rsidRDefault="00CB5EED" w:rsidP="00B10DD2">
            <w:pPr>
              <w:rPr>
                <w:rFonts w:cs="Calibri"/>
                <w:sz w:val="20"/>
                <w:szCs w:val="20"/>
              </w:rPr>
            </w:pPr>
            <w:r>
              <w:rPr>
                <w:sz w:val="20"/>
              </w:rPr>
              <w:t xml:space="preserve">Aucune preuve ne permet de confirmer que l’étude du milieu familial d’une famille hôte potentielle </w:t>
            </w:r>
            <w:r w:rsidR="004648F2">
              <w:rPr>
                <w:sz w:val="20"/>
              </w:rPr>
              <w:t>a été fondée</w:t>
            </w:r>
            <w:r>
              <w:rPr>
                <w:sz w:val="20"/>
              </w:rPr>
              <w:t xml:space="preserve"> sur un examen des références morales et des résultats d’une vérification des dossiers de police, incluant une vérification des antécédents en vue d’un travail auprès de personnes vulnérables (réalisée au cours des six derniers mois) pour tous les adultes vivant à temps plein ou à temps partiel dans la résidence de la famille hôte.</w:t>
            </w:r>
          </w:p>
        </w:tc>
        <w:tc>
          <w:tcPr>
            <w:tcW w:w="1891" w:type="dxa"/>
            <w:gridSpan w:val="2"/>
            <w:tcBorders>
              <w:top w:val="single" w:sz="4" w:space="0" w:color="000000"/>
              <w:left w:val="single" w:sz="4" w:space="0" w:color="000000"/>
              <w:bottom w:val="single" w:sz="4" w:space="0" w:color="000000"/>
              <w:right w:val="single" w:sz="4" w:space="0" w:color="000000"/>
            </w:tcBorders>
          </w:tcPr>
          <w:p w:rsidR="00AE70EF" w:rsidRDefault="00AE70EF" w:rsidP="000F6AE8">
            <w:pPr>
              <w:rPr>
                <w:rFonts w:cs="Calibri"/>
                <w:sz w:val="20"/>
                <w:szCs w:val="20"/>
              </w:rPr>
            </w:pPr>
          </w:p>
          <w:p w:rsidR="004C260F" w:rsidRDefault="004C260F" w:rsidP="004C260F">
            <w:pPr>
              <w:rPr>
                <w:rFonts w:cs="Calibri"/>
                <w:sz w:val="20"/>
                <w:szCs w:val="20"/>
              </w:rPr>
            </w:pPr>
            <w:r w:rsidRPr="004C260F">
              <w:rPr>
                <w:sz w:val="20"/>
                <w:highlight w:val="yellow"/>
              </w:rPr>
              <w:t>Il est nécessaire, dans les 24 heures qui suivent la réception de la lettre de non-conformité, de fournir une réponse et/ou de justifier les actions réalisées en décrivant les mesures correctives et les délais de résolution du problème. Il convient d’envoyer, dans les 10 jours ouvrables, une lettre ou un document confirmant que la mesure corrective a été menée à bien.</w:t>
            </w:r>
          </w:p>
          <w:p w:rsidR="004228FD" w:rsidRDefault="004228FD" w:rsidP="000F6AE8">
            <w:pPr>
              <w:rPr>
                <w:rFonts w:cs="Calibri"/>
                <w:sz w:val="20"/>
                <w:szCs w:val="20"/>
              </w:rPr>
            </w:pPr>
          </w:p>
          <w:p w:rsidR="004228FD" w:rsidRPr="0081122E" w:rsidRDefault="004228FD"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4228FD"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spacing w:before="8" w:line="180" w:lineRule="exact"/>
              <w:rPr>
                <w:rFonts w:cs="Calibri"/>
              </w:rPr>
            </w:pPr>
          </w:p>
          <w:p w:rsidR="004228FD" w:rsidRPr="004228FD" w:rsidRDefault="004228FD" w:rsidP="004228FD">
            <w:pPr>
              <w:keepNext/>
              <w:spacing w:before="240" w:after="60"/>
              <w:jc w:val="center"/>
              <w:outlineLvl w:val="0"/>
              <w:rPr>
                <w:rFonts w:asciiTheme="minorHAnsi" w:eastAsiaTheme="majorEastAsia" w:hAnsiTheme="minorHAnsi" w:cstheme="minorHAnsi"/>
                <w:bCs/>
                <w:kern w:val="32"/>
                <w:sz w:val="24"/>
                <w:szCs w:val="32"/>
              </w:rPr>
            </w:pPr>
            <w:r>
              <w:rPr>
                <w:rFonts w:asciiTheme="minorHAnsi" w:eastAsiaTheme="majorEastAsia" w:hAnsiTheme="minorHAnsi" w:cstheme="minorHAnsi"/>
                <w:b/>
                <w:kern w:val="32"/>
                <w:sz w:val="24"/>
              </w:rPr>
              <w:t>Dossiers et documents</w:t>
            </w:r>
          </w:p>
          <w:p w:rsidR="004228FD" w:rsidRPr="004228FD" w:rsidRDefault="004228FD" w:rsidP="004228FD">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jc w:val="center"/>
              <w:rPr>
                <w:rFonts w:cs="Calibri"/>
                <w:b/>
              </w:rPr>
            </w:pPr>
          </w:p>
          <w:p w:rsidR="004228FD" w:rsidRPr="004228FD" w:rsidRDefault="004228FD" w:rsidP="004228FD">
            <w:pPr>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jc w:val="center"/>
              <w:rPr>
                <w:rFonts w:cs="Calibri"/>
                <w:b/>
              </w:rPr>
            </w:pPr>
          </w:p>
          <w:p w:rsidR="004228FD" w:rsidRPr="004228FD" w:rsidRDefault="00983268" w:rsidP="004228FD">
            <w:pPr>
              <w:jc w:val="center"/>
              <w:rPr>
                <w:rFonts w:cs="Calibri"/>
              </w:rPr>
            </w:pPr>
            <w:r>
              <w:rPr>
                <w:b/>
              </w:rPr>
              <w:t>Risque</w:t>
            </w:r>
          </w:p>
        </w:tc>
        <w:tc>
          <w:tcPr>
            <w:tcW w:w="802"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spacing w:line="200" w:lineRule="exact"/>
              <w:jc w:val="center"/>
              <w:rPr>
                <w:rFonts w:cs="Calibri"/>
              </w:rPr>
            </w:pPr>
          </w:p>
          <w:p w:rsidR="004228FD" w:rsidRPr="004228FD" w:rsidRDefault="004228FD" w:rsidP="004228FD">
            <w:pPr>
              <w:spacing w:line="200" w:lineRule="exact"/>
              <w:jc w:val="center"/>
              <w:rPr>
                <w:rFonts w:cs="Calibri"/>
                <w:b/>
              </w:rPr>
            </w:pPr>
          </w:p>
          <w:p w:rsidR="004228FD" w:rsidRPr="004228FD" w:rsidRDefault="004228FD" w:rsidP="004228FD">
            <w:pPr>
              <w:spacing w:line="200" w:lineRule="exact"/>
              <w:jc w:val="center"/>
              <w:rPr>
                <w:rFonts w:cs="Calibri"/>
              </w:rPr>
            </w:pPr>
            <w:r>
              <w:rPr>
                <w:b/>
              </w:rPr>
              <w:t>Indicateur</w:t>
            </w:r>
          </w:p>
          <w:p w:rsidR="004228FD" w:rsidRPr="004228FD" w:rsidRDefault="004228FD" w:rsidP="004228FD">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jc w:val="center"/>
              <w:rPr>
                <w:rFonts w:cs="Calibri"/>
                <w:b/>
              </w:rPr>
            </w:pPr>
          </w:p>
          <w:p w:rsidR="004228FD" w:rsidRPr="004228FD" w:rsidRDefault="004228FD" w:rsidP="004228FD">
            <w:pPr>
              <w:jc w:val="center"/>
              <w:rPr>
                <w:rFonts w:cs="Calibri"/>
                <w:b/>
              </w:rPr>
            </w:pPr>
            <w:r>
              <w:rPr>
                <w:b/>
              </w:rPr>
              <w:t>Non-conformité constatée</w:t>
            </w:r>
          </w:p>
        </w:tc>
        <w:tc>
          <w:tcPr>
            <w:tcW w:w="636"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jc w:val="center"/>
              <w:rPr>
                <w:rFonts w:cs="Calibri"/>
                <w:b/>
              </w:rPr>
            </w:pPr>
          </w:p>
          <w:p w:rsidR="004228FD" w:rsidRPr="004228FD" w:rsidRDefault="004228FD" w:rsidP="004228FD">
            <w:pPr>
              <w:jc w:val="center"/>
              <w:rPr>
                <w:rFonts w:cs="Calibri"/>
              </w:rPr>
            </w:pPr>
            <w:r>
              <w:rPr>
                <w:b/>
              </w:rPr>
              <w:t>Exigence de conformité</w:t>
            </w:r>
          </w:p>
        </w:tc>
      </w:tr>
      <w:tr w:rsidR="004228FD"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6521F6" w:rsidRDefault="006521F6" w:rsidP="006521F6">
            <w:pPr>
              <w:spacing w:before="48"/>
              <w:ind w:left="35"/>
              <w:rPr>
                <w:rFonts w:cs="Calibri"/>
                <w:sz w:val="20"/>
                <w:szCs w:val="20"/>
              </w:rPr>
            </w:pPr>
          </w:p>
          <w:p w:rsidR="004228FD" w:rsidRPr="004228FD" w:rsidRDefault="004874CB" w:rsidP="006521F6">
            <w:pPr>
              <w:spacing w:before="48"/>
              <w:ind w:left="35"/>
              <w:rPr>
                <w:rFonts w:cs="Calibri"/>
                <w:sz w:val="20"/>
                <w:szCs w:val="20"/>
              </w:rPr>
            </w:pPr>
            <w:r>
              <w:rPr>
                <w:sz w:val="20"/>
              </w:rPr>
              <w:t>57. Étude du milieu familial, exigences en matière de vérification matérielle</w:t>
            </w:r>
          </w:p>
          <w:p w:rsidR="006521F6" w:rsidRDefault="006521F6" w:rsidP="006521F6">
            <w:pPr>
              <w:widowControl/>
              <w:rPr>
                <w:rFonts w:cs="Calibri"/>
                <w:sz w:val="20"/>
                <w:szCs w:val="20"/>
              </w:rPr>
            </w:pPr>
          </w:p>
          <w:p w:rsidR="004874CB" w:rsidRDefault="00CC6413" w:rsidP="006521F6">
            <w:pPr>
              <w:rPr>
                <w:rFonts w:cs="Calibri"/>
                <w:sz w:val="20"/>
                <w:szCs w:val="20"/>
              </w:rPr>
            </w:pPr>
            <w:r>
              <w:rPr>
                <w:sz w:val="20"/>
              </w:rPr>
              <w:t>Les organismes de service sont tenus d’étudier le milieu familial d’une famille hôte potentielle en s’appuyant sur une vérification matérielle permettant de déterminer si la résidence et le terrain satisfont aux exigences garantissant un milieu de vie sécuritaire et à toute loi ou tout règlement en vigueur, notamment en ce qui concerne la sécurité-incendie, la prévention des risques pour la santé et l’évaluation de la qualité de l’eau, le cas échéant.</w:t>
            </w:r>
          </w:p>
          <w:p w:rsidR="004874CB" w:rsidRDefault="004874CB" w:rsidP="006521F6">
            <w:pPr>
              <w:rPr>
                <w:rFonts w:cs="Calibri"/>
                <w:sz w:val="20"/>
                <w:szCs w:val="20"/>
              </w:rPr>
            </w:pPr>
          </w:p>
          <w:p w:rsidR="004228FD" w:rsidRPr="004228FD" w:rsidRDefault="004874CB" w:rsidP="006521F6">
            <w:pPr>
              <w:rPr>
                <w:rFonts w:cs="Calibri"/>
                <w:sz w:val="20"/>
                <w:szCs w:val="20"/>
              </w:rPr>
            </w:pPr>
            <w:r>
              <w:rPr>
                <w:sz w:val="20"/>
              </w:rPr>
              <w:t>Directives en matière de politique s’appliquant aux organismes de service en ce qui a trait au Programme de placement en famille hôte 1.0</w:t>
            </w:r>
          </w:p>
          <w:p w:rsidR="004228FD" w:rsidRPr="004228FD" w:rsidRDefault="004228FD" w:rsidP="004228FD">
            <w:pPr>
              <w:rPr>
                <w:rFonts w:cs="Calibri"/>
                <w:sz w:val="20"/>
                <w:szCs w:val="20"/>
              </w:rPr>
            </w:pPr>
          </w:p>
          <w:p w:rsidR="004228FD" w:rsidRPr="004228FD" w:rsidRDefault="004228FD" w:rsidP="004228FD">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4228FD" w:rsidRPr="004228FD" w:rsidRDefault="004228FD" w:rsidP="004228FD">
            <w:pPr>
              <w:rPr>
                <w:sz w:val="20"/>
              </w:rPr>
            </w:pPr>
          </w:p>
          <w:p w:rsidR="00973ED6" w:rsidRDefault="00973ED6" w:rsidP="00973ED6">
            <w:pPr>
              <w:rPr>
                <w:rFonts w:cs="Calibri"/>
                <w:sz w:val="20"/>
                <w:szCs w:val="20"/>
              </w:rPr>
            </w:pPr>
            <w:r>
              <w:rPr>
                <w:sz w:val="20"/>
              </w:rPr>
              <w:t xml:space="preserve">Lors de l’examen et de la présélection des familles hôtes, l’organisme doit prendre en compte un éventail de facteurs afin de décider en toute connaissance de cause s’il convient d’accepter ou non une famille potentielle. </w:t>
            </w:r>
          </w:p>
          <w:p w:rsidR="00973ED6" w:rsidRDefault="00973ED6" w:rsidP="004F4C7E">
            <w:pPr>
              <w:shd w:val="clear" w:color="auto" w:fill="FFFFFF"/>
              <w:spacing w:line="253" w:lineRule="atLeast"/>
              <w:ind w:right="302"/>
              <w:jc w:val="both"/>
              <w:rPr>
                <w:rFonts w:eastAsia="Times New Roman" w:cstheme="minorHAnsi"/>
                <w:sz w:val="20"/>
                <w:szCs w:val="20"/>
              </w:rPr>
            </w:pPr>
          </w:p>
          <w:p w:rsidR="004B20ED" w:rsidRPr="00607F24" w:rsidRDefault="00973ED6" w:rsidP="00607F24">
            <w:pPr>
              <w:rPr>
                <w:sz w:val="20"/>
              </w:rPr>
            </w:pPr>
            <w:r>
              <w:rPr>
                <w:rFonts w:cstheme="minorHAnsi"/>
                <w:sz w:val="20"/>
              </w:rPr>
              <w:t xml:space="preserve">Il est important de s’assurer que </w:t>
            </w:r>
            <w:r w:rsidRPr="00607F24">
              <w:rPr>
                <w:sz w:val="20"/>
              </w:rPr>
              <w:t>l’étude du milieu familial se fonde sur une vérification matérielle.</w:t>
            </w:r>
          </w:p>
          <w:p w:rsidR="004B20ED" w:rsidRPr="00607F24" w:rsidRDefault="004B20ED" w:rsidP="00607F24">
            <w:pPr>
              <w:rPr>
                <w:sz w:val="20"/>
              </w:rPr>
            </w:pPr>
          </w:p>
          <w:p w:rsidR="004F4C7E" w:rsidRPr="00607F24" w:rsidRDefault="004F4C7E" w:rsidP="00607F24">
            <w:pPr>
              <w:rPr>
                <w:sz w:val="20"/>
              </w:rPr>
            </w:pPr>
            <w:r w:rsidRPr="00607F24">
              <w:rPr>
                <w:sz w:val="20"/>
              </w:rPr>
              <w:t>Les vérifications de la sécurité matérielle doivent être effectué</w:t>
            </w:r>
            <w:r w:rsidR="001730E2" w:rsidRPr="00607F24">
              <w:rPr>
                <w:sz w:val="20"/>
              </w:rPr>
              <w:t>e</w:t>
            </w:r>
            <w:r w:rsidRPr="00607F24">
              <w:rPr>
                <w:sz w:val="20"/>
              </w:rPr>
              <w:t xml:space="preserve">s pour tous les logements occupés, qu’il s’agisse d’une maison unifamiliale, d’une maison jumelée, d’une maison en rangée ou d’un appartement, dont la famille hôte potentielle a la propriété ou qu’elle loue. </w:t>
            </w:r>
          </w:p>
          <w:p w:rsidR="004228FD" w:rsidRPr="00607F24" w:rsidRDefault="004228FD" w:rsidP="004F4C7E">
            <w:pPr>
              <w:rPr>
                <w:sz w:val="20"/>
              </w:rPr>
            </w:pPr>
          </w:p>
          <w:p w:rsidR="00B24EFB" w:rsidRDefault="00B24EFB" w:rsidP="00607F24">
            <w:pPr>
              <w:rPr>
                <w:rFonts w:cs="Calibri"/>
                <w:sz w:val="20"/>
                <w:szCs w:val="20"/>
              </w:rPr>
            </w:pPr>
            <w:r>
              <w:rPr>
                <w:sz w:val="20"/>
              </w:rPr>
              <w:t>L’organisme de service devrait envisager d’inclure cette exigence dans ses politiques et consignes écrites régissant le processus de présélection des familles hôtes.</w:t>
            </w:r>
          </w:p>
          <w:p w:rsidR="004228FD" w:rsidRPr="004228FD" w:rsidRDefault="004228FD" w:rsidP="004228FD">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6521F6" w:rsidRDefault="006521F6" w:rsidP="00AE70EF">
            <w:pPr>
              <w:jc w:val="center"/>
              <w:rPr>
                <w:rFonts w:cs="Calibri"/>
                <w:sz w:val="20"/>
                <w:szCs w:val="20"/>
              </w:rPr>
            </w:pPr>
          </w:p>
          <w:p w:rsidR="004228FD" w:rsidRPr="004228FD" w:rsidRDefault="00B14788" w:rsidP="00B14788">
            <w:pPr>
              <w:jc w:val="center"/>
              <w:rPr>
                <w:rFonts w:cs="Calibri"/>
                <w:sz w:val="20"/>
                <w:szCs w:val="20"/>
              </w:rPr>
            </w:pPr>
            <w:r>
              <w:rPr>
                <w:sz w:val="20"/>
              </w:rPr>
              <w:t>ÉLEVÉ</w:t>
            </w:r>
          </w:p>
        </w:tc>
        <w:tc>
          <w:tcPr>
            <w:tcW w:w="802" w:type="pct"/>
            <w:tcBorders>
              <w:top w:val="single" w:sz="4" w:space="0" w:color="000000"/>
              <w:left w:val="single" w:sz="4" w:space="0" w:color="000000"/>
              <w:bottom w:val="single" w:sz="4" w:space="0" w:color="000000"/>
              <w:right w:val="single" w:sz="4" w:space="0" w:color="000000"/>
            </w:tcBorders>
          </w:tcPr>
          <w:p w:rsidR="006521F6" w:rsidRDefault="006521F6" w:rsidP="004228FD">
            <w:pPr>
              <w:autoSpaceDE w:val="0"/>
              <w:autoSpaceDN w:val="0"/>
              <w:adjustRightInd w:val="0"/>
              <w:rPr>
                <w:rFonts w:cs="Calibri"/>
                <w:sz w:val="20"/>
                <w:szCs w:val="20"/>
              </w:rPr>
            </w:pPr>
          </w:p>
          <w:p w:rsidR="004228FD" w:rsidRPr="004228FD" w:rsidRDefault="004874CB" w:rsidP="004228FD">
            <w:pPr>
              <w:autoSpaceDE w:val="0"/>
              <w:autoSpaceDN w:val="0"/>
              <w:adjustRightInd w:val="0"/>
              <w:rPr>
                <w:rFonts w:asciiTheme="minorHAnsi" w:hAnsiTheme="minorHAnsi" w:cstheme="minorHAnsi"/>
                <w:sz w:val="20"/>
                <w:szCs w:val="20"/>
              </w:rPr>
            </w:pPr>
            <w:r>
              <w:rPr>
                <w:sz w:val="20"/>
              </w:rPr>
              <w:t>Rapport d’étude du milieu familial; rapports d’inspection initiale de la résidence portant notamment sur la santé, la sécurité-incendie et le bâtiment.</w:t>
            </w:r>
          </w:p>
          <w:p w:rsidR="004228FD" w:rsidRPr="004228FD" w:rsidRDefault="004228FD" w:rsidP="004228FD">
            <w:pPr>
              <w:rPr>
                <w:rFonts w:asciiTheme="minorHAnsi" w:hAnsiTheme="minorHAnsi" w:cstheme="minorHAnsi"/>
                <w:sz w:val="20"/>
                <w:szCs w:val="20"/>
              </w:rPr>
            </w:pPr>
          </w:p>
          <w:p w:rsidR="004228FD" w:rsidRPr="004228FD" w:rsidRDefault="004228FD" w:rsidP="004228FD">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6521F6" w:rsidRDefault="006521F6" w:rsidP="004228FD">
            <w:pPr>
              <w:rPr>
                <w:rFonts w:cs="Calibri"/>
                <w:sz w:val="20"/>
                <w:szCs w:val="20"/>
              </w:rPr>
            </w:pPr>
          </w:p>
          <w:p w:rsidR="004228FD" w:rsidRPr="004228FD" w:rsidRDefault="00CC6413" w:rsidP="004648F2">
            <w:pPr>
              <w:rPr>
                <w:rFonts w:cs="Calibri"/>
                <w:sz w:val="20"/>
                <w:szCs w:val="20"/>
              </w:rPr>
            </w:pPr>
            <w:r>
              <w:rPr>
                <w:sz w:val="20"/>
              </w:rPr>
              <w:t xml:space="preserve">Aucune preuve ne permet de confirmer que l’étude du milieu familial d’une famille hôte potentielle </w:t>
            </w:r>
            <w:r w:rsidR="004648F2">
              <w:rPr>
                <w:sz w:val="20"/>
              </w:rPr>
              <w:t>a été fondée</w:t>
            </w:r>
            <w:r>
              <w:rPr>
                <w:sz w:val="20"/>
              </w:rPr>
              <w:t xml:space="preserve"> sur une vérification </w:t>
            </w:r>
            <w:r w:rsidR="004648F2">
              <w:rPr>
                <w:sz w:val="20"/>
              </w:rPr>
              <w:t>matérielle</w:t>
            </w:r>
            <w:r>
              <w:rPr>
                <w:sz w:val="20"/>
              </w:rPr>
              <w:t xml:space="preserve"> servant à déterminer si la résidence et le terrain répondent aux </w:t>
            </w:r>
            <w:r w:rsidR="00607F24" w:rsidRPr="00607F24">
              <w:rPr>
                <w:sz w:val="20"/>
              </w:rPr>
              <w:t>satisfont aux exigences garantissant un milieu de vie sécuritaire et à toute loi ou tout règlement en vigueur</w:t>
            </w:r>
            <w:r>
              <w:rPr>
                <w:sz w:val="20"/>
              </w:rPr>
              <w:t xml:space="preserve">, </w:t>
            </w:r>
            <w:r w:rsidR="00D6001B">
              <w:rPr>
                <w:sz w:val="20"/>
              </w:rPr>
              <w:t>notamment en ce qui concerne la sécurité-incendie, la prévention des risques pour la santé et l’évaluation de la qualité de l’eau, le cas échéant</w:t>
            </w:r>
            <w:r>
              <w:rPr>
                <w:sz w:val="20"/>
              </w:rPr>
              <w:t>.</w:t>
            </w:r>
          </w:p>
        </w:tc>
        <w:tc>
          <w:tcPr>
            <w:tcW w:w="636" w:type="pct"/>
            <w:tcBorders>
              <w:top w:val="single" w:sz="4" w:space="0" w:color="000000"/>
              <w:left w:val="single" w:sz="4" w:space="0" w:color="000000"/>
              <w:bottom w:val="single" w:sz="4" w:space="0" w:color="000000"/>
              <w:right w:val="single" w:sz="4" w:space="0" w:color="000000"/>
            </w:tcBorders>
          </w:tcPr>
          <w:p w:rsidR="006521F6" w:rsidRDefault="006521F6" w:rsidP="004228FD">
            <w:pPr>
              <w:rPr>
                <w:rFonts w:cs="Calibri"/>
                <w:sz w:val="20"/>
                <w:szCs w:val="20"/>
              </w:rPr>
            </w:pPr>
          </w:p>
          <w:p w:rsidR="004C260F" w:rsidRDefault="004C260F" w:rsidP="004C260F">
            <w:pPr>
              <w:rPr>
                <w:rFonts w:cs="Calibri"/>
                <w:sz w:val="20"/>
                <w:szCs w:val="20"/>
              </w:rPr>
            </w:pPr>
            <w:r w:rsidRPr="004C260F">
              <w:rPr>
                <w:sz w:val="20"/>
                <w:highlight w:val="yellow"/>
              </w:rPr>
              <w:t>Il est nécessaire, dans les 24 heures qui suivent la réception de la lettre de non-conformité, de fournir une réponse et/ou de justifier les actions réalisées en décrivant les mesures correctives et les délais de résolution du problème. Il convient d’envoyer, dans les 10 jours ouvrables, une lettre ou un document confirmant que la mesure corrective a été menée à bien.</w:t>
            </w:r>
          </w:p>
          <w:p w:rsidR="004228FD" w:rsidRPr="004228FD" w:rsidRDefault="004228FD" w:rsidP="004228FD">
            <w:pPr>
              <w:rPr>
                <w:rFonts w:cs="Calibri"/>
                <w:sz w:val="20"/>
                <w:szCs w:val="20"/>
              </w:rPr>
            </w:pPr>
          </w:p>
          <w:p w:rsidR="004228FD" w:rsidRPr="004228FD" w:rsidRDefault="004228FD" w:rsidP="004228FD">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4228FD"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spacing w:before="8" w:line="180" w:lineRule="exact"/>
              <w:rPr>
                <w:rFonts w:cs="Calibri"/>
              </w:rPr>
            </w:pPr>
          </w:p>
          <w:p w:rsidR="004228FD" w:rsidRPr="004228FD" w:rsidRDefault="004228FD" w:rsidP="004228FD">
            <w:pPr>
              <w:keepNext/>
              <w:spacing w:before="240" w:after="60"/>
              <w:jc w:val="center"/>
              <w:outlineLvl w:val="0"/>
              <w:rPr>
                <w:rFonts w:asciiTheme="minorHAnsi" w:eastAsiaTheme="majorEastAsia" w:hAnsiTheme="minorHAnsi" w:cstheme="minorHAnsi"/>
                <w:bCs/>
                <w:kern w:val="32"/>
                <w:sz w:val="24"/>
                <w:szCs w:val="32"/>
              </w:rPr>
            </w:pPr>
            <w:r>
              <w:rPr>
                <w:rFonts w:asciiTheme="minorHAnsi" w:eastAsiaTheme="majorEastAsia" w:hAnsiTheme="minorHAnsi" w:cstheme="minorHAnsi"/>
                <w:b/>
                <w:kern w:val="32"/>
                <w:sz w:val="24"/>
              </w:rPr>
              <w:t>Dossiers et documents</w:t>
            </w:r>
          </w:p>
          <w:p w:rsidR="004228FD" w:rsidRPr="004228FD" w:rsidRDefault="004228FD" w:rsidP="004228FD">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jc w:val="center"/>
              <w:rPr>
                <w:rFonts w:cs="Calibri"/>
                <w:b/>
              </w:rPr>
            </w:pPr>
          </w:p>
          <w:p w:rsidR="004228FD" w:rsidRPr="004228FD" w:rsidRDefault="004228FD" w:rsidP="004228FD">
            <w:pPr>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jc w:val="center"/>
              <w:rPr>
                <w:rFonts w:cs="Calibri"/>
                <w:b/>
              </w:rPr>
            </w:pPr>
          </w:p>
          <w:p w:rsidR="004228FD" w:rsidRPr="004228FD" w:rsidRDefault="00983268" w:rsidP="004228FD">
            <w:pPr>
              <w:jc w:val="center"/>
              <w:rPr>
                <w:rFonts w:cs="Calibri"/>
              </w:rPr>
            </w:pPr>
            <w:r>
              <w:rPr>
                <w:b/>
              </w:rPr>
              <w:t>Risque</w:t>
            </w:r>
          </w:p>
        </w:tc>
        <w:tc>
          <w:tcPr>
            <w:tcW w:w="802"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spacing w:line="200" w:lineRule="exact"/>
              <w:jc w:val="center"/>
              <w:rPr>
                <w:rFonts w:cs="Calibri"/>
              </w:rPr>
            </w:pPr>
          </w:p>
          <w:p w:rsidR="004228FD" w:rsidRPr="004228FD" w:rsidRDefault="004228FD" w:rsidP="004228FD">
            <w:pPr>
              <w:spacing w:line="200" w:lineRule="exact"/>
              <w:jc w:val="center"/>
              <w:rPr>
                <w:rFonts w:cs="Calibri"/>
                <w:b/>
              </w:rPr>
            </w:pPr>
          </w:p>
          <w:p w:rsidR="004228FD" w:rsidRPr="004228FD" w:rsidRDefault="004228FD" w:rsidP="004228FD">
            <w:pPr>
              <w:spacing w:line="200" w:lineRule="exact"/>
              <w:jc w:val="center"/>
              <w:rPr>
                <w:rFonts w:cs="Calibri"/>
              </w:rPr>
            </w:pPr>
            <w:r>
              <w:rPr>
                <w:b/>
              </w:rPr>
              <w:t>Indicateur</w:t>
            </w:r>
          </w:p>
          <w:p w:rsidR="004228FD" w:rsidRPr="004228FD" w:rsidRDefault="004228FD" w:rsidP="004228FD">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jc w:val="center"/>
              <w:rPr>
                <w:rFonts w:cs="Calibri"/>
                <w:b/>
              </w:rPr>
            </w:pPr>
          </w:p>
          <w:p w:rsidR="004228FD" w:rsidRPr="004228FD" w:rsidRDefault="004228FD" w:rsidP="004228FD">
            <w:pPr>
              <w:jc w:val="center"/>
              <w:rPr>
                <w:rFonts w:cs="Calibri"/>
                <w:b/>
              </w:rPr>
            </w:pPr>
            <w:r>
              <w:rPr>
                <w:b/>
              </w:rPr>
              <w:t>Non-conformité constatée</w:t>
            </w:r>
          </w:p>
        </w:tc>
        <w:tc>
          <w:tcPr>
            <w:tcW w:w="636" w:type="pct"/>
            <w:tcBorders>
              <w:top w:val="single" w:sz="4" w:space="0" w:color="000000"/>
              <w:left w:val="single" w:sz="4" w:space="0" w:color="000000"/>
              <w:right w:val="single" w:sz="4" w:space="0" w:color="000000"/>
            </w:tcBorders>
            <w:shd w:val="clear" w:color="auto" w:fill="BFBFBF"/>
          </w:tcPr>
          <w:p w:rsidR="004228FD" w:rsidRPr="004228FD" w:rsidRDefault="004228FD" w:rsidP="004228FD">
            <w:pPr>
              <w:jc w:val="center"/>
              <w:rPr>
                <w:rFonts w:cs="Calibri"/>
                <w:b/>
              </w:rPr>
            </w:pPr>
          </w:p>
          <w:p w:rsidR="004228FD" w:rsidRPr="004228FD" w:rsidRDefault="004228FD" w:rsidP="004228FD">
            <w:pPr>
              <w:jc w:val="center"/>
              <w:rPr>
                <w:rFonts w:cs="Calibri"/>
              </w:rPr>
            </w:pPr>
            <w:r>
              <w:rPr>
                <w:b/>
              </w:rPr>
              <w:t>Exigence de conformité</w:t>
            </w:r>
          </w:p>
        </w:tc>
      </w:tr>
      <w:tr w:rsidR="004228FD"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4874CB" w:rsidRDefault="004874CB" w:rsidP="004874CB">
            <w:pPr>
              <w:spacing w:before="48"/>
              <w:ind w:left="35"/>
              <w:rPr>
                <w:rFonts w:cs="Calibri"/>
                <w:sz w:val="20"/>
                <w:szCs w:val="20"/>
              </w:rPr>
            </w:pPr>
          </w:p>
          <w:p w:rsidR="004228FD" w:rsidRDefault="002D62EA" w:rsidP="004874CB">
            <w:pPr>
              <w:spacing w:before="7" w:line="190" w:lineRule="exact"/>
              <w:rPr>
                <w:rFonts w:cs="Calibri"/>
                <w:sz w:val="20"/>
                <w:szCs w:val="20"/>
              </w:rPr>
            </w:pPr>
            <w:r>
              <w:rPr>
                <w:sz w:val="20"/>
              </w:rPr>
              <w:t>58</w:t>
            </w:r>
            <w:r w:rsidR="00B74868">
              <w:rPr>
                <w:sz w:val="20"/>
              </w:rPr>
              <w:t xml:space="preserve">. </w:t>
            </w:r>
            <w:r>
              <w:rPr>
                <w:sz w:val="20"/>
              </w:rPr>
              <w:t>Étude du milieu familial, rapport écrit</w:t>
            </w:r>
          </w:p>
          <w:p w:rsidR="002D62EA" w:rsidRPr="004228FD" w:rsidRDefault="002D62EA" w:rsidP="004874CB">
            <w:pPr>
              <w:spacing w:before="7" w:line="190" w:lineRule="exact"/>
              <w:rPr>
                <w:rFonts w:cs="Calibri"/>
                <w:sz w:val="20"/>
                <w:szCs w:val="20"/>
              </w:rPr>
            </w:pPr>
          </w:p>
          <w:p w:rsidR="004874CB" w:rsidRDefault="00711557" w:rsidP="004874CB">
            <w:pPr>
              <w:widowControl/>
              <w:rPr>
                <w:rFonts w:cs="Calibri"/>
                <w:sz w:val="20"/>
                <w:szCs w:val="20"/>
              </w:rPr>
            </w:pPr>
            <w:r>
              <w:rPr>
                <w:sz w:val="20"/>
              </w:rPr>
              <w:t>Les organismes de service sont tenus de préparer un rapport écrit sur les résultats de l’étude du milieu familial pour justifier l’approbation ou le rejet d’une famille hôte potentielle.</w:t>
            </w:r>
          </w:p>
          <w:p w:rsidR="00711557" w:rsidRDefault="00711557" w:rsidP="004874CB">
            <w:pPr>
              <w:widowControl/>
              <w:rPr>
                <w:rFonts w:cs="Calibri"/>
                <w:sz w:val="20"/>
                <w:szCs w:val="20"/>
              </w:rPr>
            </w:pPr>
          </w:p>
          <w:p w:rsidR="004228FD" w:rsidRPr="004228FD" w:rsidRDefault="004874CB" w:rsidP="004874CB">
            <w:pPr>
              <w:widowControl/>
              <w:rPr>
                <w:rFonts w:cs="Calibri"/>
                <w:sz w:val="16"/>
                <w:szCs w:val="16"/>
              </w:rPr>
            </w:pPr>
            <w:r>
              <w:rPr>
                <w:sz w:val="20"/>
              </w:rPr>
              <w:t>Directives en matière de politique s’appliquant aux organismes de service en ce qui a trait au Programme de placement en famille hôte 1.0</w:t>
            </w:r>
          </w:p>
          <w:p w:rsidR="004228FD" w:rsidRPr="004228FD" w:rsidRDefault="004228FD" w:rsidP="004228FD">
            <w:pPr>
              <w:rPr>
                <w:rFonts w:cs="Calibri"/>
                <w:sz w:val="20"/>
                <w:szCs w:val="20"/>
              </w:rPr>
            </w:pPr>
          </w:p>
          <w:p w:rsidR="004228FD" w:rsidRPr="004228FD" w:rsidRDefault="004228FD" w:rsidP="004228FD">
            <w:pPr>
              <w:rPr>
                <w:rFonts w:cs="Calibri"/>
                <w:sz w:val="20"/>
                <w:szCs w:val="20"/>
              </w:rPr>
            </w:pPr>
          </w:p>
          <w:p w:rsidR="004228FD" w:rsidRPr="004228FD" w:rsidRDefault="004228FD" w:rsidP="004228FD">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4228FD" w:rsidRPr="004228FD" w:rsidRDefault="004228FD" w:rsidP="004228FD">
            <w:pPr>
              <w:rPr>
                <w:sz w:val="20"/>
              </w:rPr>
            </w:pPr>
          </w:p>
          <w:p w:rsidR="00973ED6" w:rsidRDefault="00973ED6" w:rsidP="00973ED6">
            <w:pPr>
              <w:rPr>
                <w:rFonts w:cs="Calibri"/>
                <w:sz w:val="20"/>
                <w:szCs w:val="20"/>
              </w:rPr>
            </w:pPr>
            <w:r>
              <w:rPr>
                <w:sz w:val="20"/>
              </w:rPr>
              <w:t xml:space="preserve">Lors de l’examen et de la présélection des familles hôtes, l’organisme doit prendre en compte un éventail de facteurs afin de décider en toute connaissance de cause s’il convient d’accepter ou non une famille potentielle. </w:t>
            </w:r>
          </w:p>
          <w:p w:rsidR="00973ED6" w:rsidRDefault="00973ED6" w:rsidP="004228FD">
            <w:pPr>
              <w:rPr>
                <w:sz w:val="20"/>
                <w:szCs w:val="20"/>
              </w:rPr>
            </w:pPr>
          </w:p>
          <w:p w:rsidR="004228FD" w:rsidRPr="004228FD" w:rsidRDefault="004228FD" w:rsidP="004228FD">
            <w:pPr>
              <w:autoSpaceDE w:val="0"/>
              <w:autoSpaceDN w:val="0"/>
              <w:adjustRightInd w:val="0"/>
              <w:rPr>
                <w:rFonts w:cs="Calibri"/>
                <w:sz w:val="20"/>
                <w:szCs w:val="20"/>
              </w:rPr>
            </w:pPr>
          </w:p>
          <w:p w:rsidR="004228FD" w:rsidRPr="004228FD" w:rsidRDefault="00973ED6" w:rsidP="004228FD">
            <w:pPr>
              <w:autoSpaceDE w:val="0"/>
              <w:autoSpaceDN w:val="0"/>
              <w:adjustRightInd w:val="0"/>
              <w:rPr>
                <w:rFonts w:cs="Calibri"/>
                <w:sz w:val="20"/>
                <w:szCs w:val="20"/>
              </w:rPr>
            </w:pPr>
            <w:r>
              <w:rPr>
                <w:sz w:val="20"/>
              </w:rPr>
              <w:t>Les conclusions formulées et documentées par l’organisme à l’issue de la présélection d’une famille hôte potentielle peuvent constituer d’importantes données de référence au sein des dossiers de l’organisme</w:t>
            </w:r>
            <w:r w:rsidR="00B74868">
              <w:rPr>
                <w:sz w:val="20"/>
              </w:rPr>
              <w:t xml:space="preserve">. </w:t>
            </w:r>
          </w:p>
          <w:p w:rsidR="004228FD" w:rsidRPr="004228FD" w:rsidRDefault="004228FD" w:rsidP="004228FD">
            <w:pPr>
              <w:autoSpaceDE w:val="0"/>
              <w:autoSpaceDN w:val="0"/>
              <w:adjustRightInd w:val="0"/>
              <w:rPr>
                <w:rFonts w:cs="Calibri"/>
                <w:sz w:val="20"/>
                <w:szCs w:val="20"/>
              </w:rPr>
            </w:pPr>
          </w:p>
          <w:p w:rsidR="004228FD" w:rsidRPr="004228FD" w:rsidRDefault="004228FD" w:rsidP="004228FD">
            <w:pPr>
              <w:autoSpaceDE w:val="0"/>
              <w:autoSpaceDN w:val="0"/>
              <w:adjustRightInd w:val="0"/>
              <w:rPr>
                <w:rFonts w:cs="Calibri"/>
                <w:sz w:val="20"/>
                <w:szCs w:val="20"/>
              </w:rPr>
            </w:pPr>
          </w:p>
          <w:p w:rsidR="0055482B" w:rsidRDefault="0055482B" w:rsidP="0055482B">
            <w:pPr>
              <w:autoSpaceDE w:val="0"/>
              <w:autoSpaceDN w:val="0"/>
              <w:adjustRightInd w:val="0"/>
              <w:rPr>
                <w:rFonts w:cs="Calibri"/>
                <w:sz w:val="20"/>
                <w:szCs w:val="20"/>
              </w:rPr>
            </w:pPr>
            <w:r>
              <w:rPr>
                <w:sz w:val="20"/>
              </w:rPr>
              <w:t>L’organisme de service devrait envisager d’inclure cette exigence dans ses politiques et consignes écrites régissant le processus de présélection des familles hôtes.</w:t>
            </w:r>
          </w:p>
          <w:p w:rsidR="004228FD" w:rsidRPr="004228FD" w:rsidRDefault="004228FD" w:rsidP="004228FD">
            <w:pPr>
              <w:autoSpaceDE w:val="0"/>
              <w:autoSpaceDN w:val="0"/>
              <w:adjustRightInd w:val="0"/>
              <w:rPr>
                <w:rFonts w:cs="Calibri"/>
                <w:sz w:val="20"/>
                <w:szCs w:val="20"/>
              </w:rPr>
            </w:pPr>
          </w:p>
          <w:p w:rsidR="004228FD" w:rsidRPr="004228FD" w:rsidRDefault="004228FD" w:rsidP="004228FD">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4874CB" w:rsidRDefault="004874CB" w:rsidP="004874CB">
            <w:pPr>
              <w:jc w:val="center"/>
              <w:rPr>
                <w:rFonts w:cs="Calibri"/>
                <w:sz w:val="20"/>
                <w:szCs w:val="20"/>
              </w:rPr>
            </w:pPr>
          </w:p>
          <w:p w:rsidR="004228FD" w:rsidRPr="004228FD" w:rsidRDefault="00A4611C" w:rsidP="004874CB">
            <w:pPr>
              <w:jc w:val="center"/>
              <w:rPr>
                <w:rFonts w:cs="Calibri"/>
                <w:sz w:val="20"/>
                <w:szCs w:val="20"/>
              </w:rPr>
            </w:pPr>
            <w:r>
              <w:rPr>
                <w:sz w:val="20"/>
              </w:rPr>
              <w:t>MODÉRÉ</w:t>
            </w:r>
          </w:p>
          <w:p w:rsidR="004228FD" w:rsidRPr="004228FD" w:rsidRDefault="004228FD" w:rsidP="004228FD">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4874CB" w:rsidRDefault="004874CB" w:rsidP="004228FD">
            <w:pPr>
              <w:autoSpaceDE w:val="0"/>
              <w:autoSpaceDN w:val="0"/>
              <w:adjustRightInd w:val="0"/>
              <w:rPr>
                <w:rFonts w:cs="Calibri"/>
                <w:sz w:val="20"/>
                <w:szCs w:val="20"/>
              </w:rPr>
            </w:pPr>
          </w:p>
          <w:p w:rsidR="004228FD" w:rsidRPr="004228FD" w:rsidRDefault="004874CB" w:rsidP="004228FD">
            <w:pPr>
              <w:autoSpaceDE w:val="0"/>
              <w:autoSpaceDN w:val="0"/>
              <w:adjustRightInd w:val="0"/>
              <w:rPr>
                <w:rFonts w:asciiTheme="minorHAnsi" w:hAnsiTheme="minorHAnsi" w:cstheme="minorHAnsi"/>
                <w:sz w:val="20"/>
                <w:szCs w:val="20"/>
              </w:rPr>
            </w:pPr>
            <w:r>
              <w:rPr>
                <w:sz w:val="20"/>
              </w:rPr>
              <w:t>Détails consignés par écrit dans le rapport d’étude du milieu familial.</w:t>
            </w:r>
          </w:p>
          <w:p w:rsidR="004228FD" w:rsidRPr="004228FD" w:rsidRDefault="004228FD" w:rsidP="004228FD">
            <w:pPr>
              <w:autoSpaceDE w:val="0"/>
              <w:autoSpaceDN w:val="0"/>
              <w:adjustRightInd w:val="0"/>
              <w:rPr>
                <w:rFonts w:asciiTheme="minorHAnsi" w:hAnsiTheme="minorHAnsi" w:cstheme="minorHAnsi"/>
                <w:sz w:val="20"/>
                <w:szCs w:val="20"/>
              </w:rPr>
            </w:pPr>
          </w:p>
          <w:p w:rsidR="004228FD" w:rsidRPr="004228FD" w:rsidRDefault="004228FD" w:rsidP="004228FD">
            <w:pPr>
              <w:rPr>
                <w:rFonts w:asciiTheme="minorHAnsi" w:hAnsiTheme="minorHAnsi" w:cstheme="minorHAnsi"/>
                <w:sz w:val="20"/>
                <w:szCs w:val="20"/>
              </w:rPr>
            </w:pPr>
          </w:p>
          <w:p w:rsidR="004228FD" w:rsidRPr="004228FD" w:rsidRDefault="004228FD" w:rsidP="004228FD">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4874CB" w:rsidRDefault="004874CB" w:rsidP="004228FD">
            <w:pPr>
              <w:rPr>
                <w:rFonts w:cs="Calibri"/>
                <w:sz w:val="20"/>
                <w:szCs w:val="20"/>
              </w:rPr>
            </w:pPr>
          </w:p>
          <w:p w:rsidR="004228FD" w:rsidRPr="004228FD" w:rsidRDefault="009F0A48" w:rsidP="004228FD">
            <w:pPr>
              <w:rPr>
                <w:rFonts w:cs="Calibri"/>
                <w:sz w:val="20"/>
                <w:szCs w:val="20"/>
              </w:rPr>
            </w:pPr>
            <w:r>
              <w:rPr>
                <w:sz w:val="20"/>
              </w:rPr>
              <w:t>Aucune preuve ne permet de confirm</w:t>
            </w:r>
            <w:r w:rsidR="004648F2">
              <w:rPr>
                <w:sz w:val="20"/>
              </w:rPr>
              <w:t xml:space="preserve">er que l’organisme de service </w:t>
            </w:r>
            <w:r>
              <w:rPr>
                <w:sz w:val="20"/>
              </w:rPr>
              <w:t>a préparé un rapport écrit sur les résultats de l’étude du milieu familial pour justifier l’approbation ou le rejet d’une famille hôte potentielle.</w:t>
            </w:r>
          </w:p>
        </w:tc>
        <w:tc>
          <w:tcPr>
            <w:tcW w:w="636" w:type="pct"/>
            <w:tcBorders>
              <w:top w:val="single" w:sz="4" w:space="0" w:color="000000"/>
              <w:left w:val="single" w:sz="4" w:space="0" w:color="000000"/>
              <w:bottom w:val="single" w:sz="4" w:space="0" w:color="000000"/>
              <w:right w:val="single" w:sz="4" w:space="0" w:color="000000"/>
            </w:tcBorders>
          </w:tcPr>
          <w:p w:rsidR="004874CB" w:rsidRDefault="004874CB" w:rsidP="004228FD">
            <w:pPr>
              <w:rPr>
                <w:rFonts w:cs="Calibri"/>
                <w:sz w:val="20"/>
                <w:szCs w:val="20"/>
              </w:rPr>
            </w:pPr>
          </w:p>
          <w:p w:rsidR="004228FD" w:rsidRPr="004228FD" w:rsidRDefault="004228FD" w:rsidP="004228FD">
            <w:pPr>
              <w:rPr>
                <w:rFonts w:cs="Calibri"/>
                <w:sz w:val="20"/>
                <w:szCs w:val="20"/>
              </w:rPr>
            </w:pPr>
            <w:r>
              <w:rPr>
                <w:sz w:val="20"/>
              </w:rPr>
              <w:t>Une lettre ou un document confirmant que la mesure corrective a été menée à bien.</w:t>
            </w:r>
          </w:p>
          <w:p w:rsidR="004228FD" w:rsidRPr="004228FD" w:rsidRDefault="004228FD" w:rsidP="004228FD">
            <w:pPr>
              <w:rPr>
                <w:rFonts w:cs="Calibri"/>
                <w:sz w:val="20"/>
                <w:szCs w:val="20"/>
              </w:rPr>
            </w:pPr>
          </w:p>
          <w:p w:rsidR="004228FD" w:rsidRPr="004228FD" w:rsidRDefault="004228FD" w:rsidP="004228FD">
            <w:pPr>
              <w:rPr>
                <w:rFonts w:cs="Calibri"/>
                <w:sz w:val="20"/>
                <w:szCs w:val="20"/>
              </w:rPr>
            </w:pPr>
          </w:p>
        </w:tc>
      </w:tr>
    </w:tbl>
    <w:p w:rsidR="00186DAE" w:rsidRPr="0081122E" w:rsidRDefault="00186DAE">
      <w:pPr>
        <w:rPr>
          <w:rFonts w:cs="Calibri"/>
          <w:sz w:val="20"/>
          <w:szCs w:val="20"/>
        </w:rPr>
        <w:sectPr w:rsidR="00186DAE" w:rsidRPr="0081122E" w:rsidSect="000B206A">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Pr>
                <w:rFonts w:asciiTheme="minorHAnsi" w:eastAsiaTheme="majorEastAsia" w:hAnsiTheme="minorHAnsi" w:cstheme="minorHAnsi"/>
                <w:b/>
                <w:kern w:val="32"/>
                <w:sz w:val="24"/>
              </w:rPr>
              <w:t>Dossiers et documents</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A4611C" w:rsidP="000F6AE8">
            <w:pPr>
              <w:jc w:val="center"/>
              <w:rPr>
                <w:rFonts w:cs="Calibri"/>
              </w:rPr>
            </w:pPr>
            <w:r>
              <w:rPr>
                <w:b/>
              </w:rPr>
              <w:t>Risque</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Pr>
                <w:b/>
              </w:rPr>
              <w:t>Indicateur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Pr>
                <w:b/>
              </w:rPr>
              <w:t>Non-conformité constatée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Pr>
                <w:b/>
              </w:rPr>
              <w:t>Exigence de conformité</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DF64C3" w:rsidRDefault="00DF64C3" w:rsidP="00DF64C3">
            <w:pPr>
              <w:spacing w:before="48"/>
              <w:ind w:left="35"/>
              <w:rPr>
                <w:rFonts w:cs="Calibri"/>
                <w:sz w:val="20"/>
                <w:szCs w:val="20"/>
              </w:rPr>
            </w:pPr>
          </w:p>
          <w:p w:rsidR="000F6AE8" w:rsidRPr="004228FD" w:rsidRDefault="00DF64C3" w:rsidP="00DF64C3">
            <w:pPr>
              <w:spacing w:before="48"/>
              <w:ind w:left="35"/>
              <w:rPr>
                <w:rFonts w:cs="Calibri"/>
                <w:sz w:val="20"/>
                <w:szCs w:val="20"/>
              </w:rPr>
            </w:pPr>
            <w:r>
              <w:rPr>
                <w:sz w:val="20"/>
              </w:rPr>
              <w:t>59. Réévaluation, changements importants</w:t>
            </w:r>
          </w:p>
          <w:p w:rsidR="000F6AE8" w:rsidRPr="004228FD" w:rsidRDefault="000F6AE8" w:rsidP="00DF64C3">
            <w:pPr>
              <w:spacing w:before="7" w:line="190" w:lineRule="exact"/>
              <w:rPr>
                <w:rFonts w:cs="Calibri"/>
                <w:sz w:val="20"/>
                <w:szCs w:val="20"/>
              </w:rPr>
            </w:pPr>
          </w:p>
          <w:p w:rsidR="00801F4C" w:rsidRDefault="009F0A48" w:rsidP="00DF64C3">
            <w:pPr>
              <w:widowControl/>
              <w:rPr>
                <w:rFonts w:cs="Calibri"/>
                <w:sz w:val="20"/>
                <w:szCs w:val="20"/>
              </w:rPr>
            </w:pPr>
            <w:r>
              <w:rPr>
                <w:sz w:val="20"/>
              </w:rPr>
              <w:t>Les organismes sont tenus de réévaluer</w:t>
            </w:r>
            <w:r w:rsidR="00B74868">
              <w:rPr>
                <w:sz w:val="20"/>
              </w:rPr>
              <w:t xml:space="preserve"> l’aptitude d’une famille hôte </w:t>
            </w:r>
            <w:r>
              <w:rPr>
                <w:sz w:val="20"/>
              </w:rPr>
              <w:t>en cas de changement important concernant la famille hôte, la personne placée et/ou ses conditions de vie (p. ex. maladie physique ou mentale, décès d’un membre de la famille, accident).</w:t>
            </w:r>
          </w:p>
          <w:p w:rsidR="009F0A48" w:rsidRDefault="009F0A48" w:rsidP="00DF64C3">
            <w:pPr>
              <w:widowControl/>
              <w:rPr>
                <w:rFonts w:cs="Calibri"/>
                <w:sz w:val="20"/>
                <w:szCs w:val="20"/>
              </w:rPr>
            </w:pPr>
          </w:p>
          <w:p w:rsidR="000F6AE8" w:rsidRPr="004228FD" w:rsidRDefault="00DF64C3" w:rsidP="00DF64C3">
            <w:pPr>
              <w:widowControl/>
              <w:rPr>
                <w:rFonts w:cs="Calibri"/>
                <w:sz w:val="16"/>
                <w:szCs w:val="16"/>
              </w:rPr>
            </w:pPr>
            <w:r>
              <w:rPr>
                <w:sz w:val="20"/>
              </w:rPr>
              <w:t>Directives en matière de politique s’appliquant aux organismes de service en ce qui a trait au Programme de placement en famille hôte 1.0</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autoSpaceDE w:val="0"/>
              <w:autoSpaceDN w:val="0"/>
              <w:adjustRightInd w:val="0"/>
              <w:rPr>
                <w:rFonts w:cs="Calibri"/>
                <w:sz w:val="20"/>
                <w:szCs w:val="20"/>
              </w:rPr>
            </w:pPr>
          </w:p>
          <w:p w:rsidR="00973ED6" w:rsidRDefault="00973ED6" w:rsidP="0013617E">
            <w:pPr>
              <w:rPr>
                <w:sz w:val="20"/>
                <w:szCs w:val="20"/>
              </w:rPr>
            </w:pPr>
            <w:r>
              <w:rPr>
                <w:sz w:val="20"/>
              </w:rPr>
              <w:t>Le ministère reconnaît que des changements peuvent survenir tout au long de la vie et que certains d’entre eux sont susceptibles d’avoir d’importantes répercussions sur une personne, sa famille et/ou ses conditions de vie</w:t>
            </w:r>
            <w:r w:rsidR="00B74868">
              <w:rPr>
                <w:sz w:val="20"/>
              </w:rPr>
              <w:t xml:space="preserve">. </w:t>
            </w:r>
          </w:p>
          <w:p w:rsidR="00973ED6" w:rsidRDefault="00973ED6" w:rsidP="0013617E">
            <w:pPr>
              <w:rPr>
                <w:sz w:val="20"/>
                <w:szCs w:val="20"/>
              </w:rPr>
            </w:pPr>
          </w:p>
          <w:p w:rsidR="004F4C7E" w:rsidRPr="0013617E" w:rsidRDefault="004F4C7E" w:rsidP="0013617E">
            <w:pPr>
              <w:rPr>
                <w:sz w:val="20"/>
                <w:szCs w:val="20"/>
              </w:rPr>
            </w:pPr>
            <w:r>
              <w:rPr>
                <w:sz w:val="20"/>
              </w:rPr>
              <w:t>En plus des vérifications régulières et des dispositions en matière de surveillance, les organismes doivent réévaluer une famille hôte en cas de changement de situation important, comme l’organisme peut le déterminer. Il convient de réaliser une étude complète ou sommaire du milieu familial suivant les besoins.</w:t>
            </w:r>
          </w:p>
          <w:p w:rsidR="000F6AE8" w:rsidRPr="004228FD" w:rsidRDefault="000F6AE8" w:rsidP="000F6AE8">
            <w:pPr>
              <w:autoSpaceDE w:val="0"/>
              <w:autoSpaceDN w:val="0"/>
              <w:adjustRightInd w:val="0"/>
              <w:rPr>
                <w:rFonts w:cs="Calibri"/>
                <w:sz w:val="20"/>
                <w:szCs w:val="20"/>
              </w:rPr>
            </w:pPr>
          </w:p>
          <w:p w:rsidR="0055482B" w:rsidRDefault="0055482B" w:rsidP="0055482B">
            <w:pPr>
              <w:autoSpaceDE w:val="0"/>
              <w:autoSpaceDN w:val="0"/>
              <w:adjustRightInd w:val="0"/>
              <w:rPr>
                <w:rFonts w:cs="Calibri"/>
                <w:sz w:val="20"/>
                <w:szCs w:val="20"/>
              </w:rPr>
            </w:pPr>
            <w:r>
              <w:rPr>
                <w:sz w:val="20"/>
              </w:rPr>
              <w:t>L’organisme de service devrait envisager d’inclure cette exigence dans ses politiques et consignes écrites régissant le processus de présélection des familles hôtes.</w:t>
            </w:r>
          </w:p>
          <w:p w:rsidR="000F6AE8" w:rsidRPr="004228FD" w:rsidRDefault="000F6AE8" w:rsidP="000F6AE8">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DF64C3" w:rsidRDefault="00DF64C3" w:rsidP="000F6AE8">
            <w:pPr>
              <w:rPr>
                <w:rFonts w:cs="Calibri"/>
                <w:sz w:val="20"/>
                <w:szCs w:val="20"/>
              </w:rPr>
            </w:pPr>
          </w:p>
          <w:p w:rsidR="000F6AE8" w:rsidRPr="004228FD" w:rsidRDefault="007A4CCA" w:rsidP="00DF64C3">
            <w:pPr>
              <w:jc w:val="center"/>
              <w:rPr>
                <w:rFonts w:cs="Calibri"/>
                <w:sz w:val="20"/>
                <w:szCs w:val="20"/>
              </w:rPr>
            </w:pPr>
            <w:r>
              <w:rPr>
                <w:sz w:val="20"/>
              </w:rPr>
              <w:t>ÉLEVÉ</w:t>
            </w:r>
          </w:p>
          <w:p w:rsidR="000F6AE8" w:rsidRPr="004228FD" w:rsidRDefault="000F6AE8" w:rsidP="000F6AE8">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DF64C3" w:rsidRDefault="00DF64C3" w:rsidP="000F6AE8">
            <w:pPr>
              <w:autoSpaceDE w:val="0"/>
              <w:autoSpaceDN w:val="0"/>
              <w:adjustRightInd w:val="0"/>
              <w:rPr>
                <w:rFonts w:cs="Calibri"/>
                <w:sz w:val="20"/>
                <w:szCs w:val="20"/>
              </w:rPr>
            </w:pPr>
          </w:p>
          <w:p w:rsidR="000F6AE8" w:rsidRPr="004228FD" w:rsidRDefault="00F11E06" w:rsidP="000F6AE8">
            <w:pPr>
              <w:autoSpaceDE w:val="0"/>
              <w:autoSpaceDN w:val="0"/>
              <w:adjustRightInd w:val="0"/>
              <w:rPr>
                <w:rFonts w:asciiTheme="minorHAnsi" w:hAnsiTheme="minorHAnsi" w:cstheme="minorHAnsi"/>
                <w:sz w:val="20"/>
                <w:szCs w:val="20"/>
              </w:rPr>
            </w:pPr>
            <w:r>
              <w:rPr>
                <w:sz w:val="20"/>
              </w:rPr>
              <w:t xml:space="preserve">Correspondance, rapports de suivi trimestriels, documents de réévaluation, dossiers individuels c.-à-d. signalements d’incidents, rapports d’activité mensuels, registres quotidiens/livres-journaux des soutiens, </w:t>
            </w:r>
            <w:r w:rsidR="008132E1">
              <w:rPr>
                <w:sz w:val="20"/>
              </w:rPr>
              <w:t>s</w:t>
            </w:r>
            <w:r w:rsidR="008132E1" w:rsidRPr="008132E1">
              <w:rPr>
                <w:sz w:val="20"/>
              </w:rPr>
              <w:t>ignalements d’incidents graves, rapports spéciaux d’incidents graves</w:t>
            </w:r>
            <w:r>
              <w:rPr>
                <w:sz w:val="20"/>
              </w:rPr>
              <w:t>.</w:t>
            </w:r>
          </w:p>
          <w:p w:rsidR="000F6AE8" w:rsidRPr="004228FD" w:rsidRDefault="000F6AE8" w:rsidP="000F6AE8">
            <w:pPr>
              <w:autoSpaceDE w:val="0"/>
              <w:autoSpaceDN w:val="0"/>
              <w:adjustRightInd w:val="0"/>
              <w:rPr>
                <w:rFonts w:asciiTheme="minorHAnsi" w:hAnsiTheme="minorHAnsi" w:cstheme="minorHAnsi"/>
                <w:sz w:val="20"/>
                <w:szCs w:val="20"/>
              </w:rPr>
            </w:pP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DF64C3" w:rsidRDefault="00DF64C3" w:rsidP="000F6AE8">
            <w:pPr>
              <w:rPr>
                <w:rFonts w:cs="Calibri"/>
                <w:sz w:val="20"/>
                <w:szCs w:val="20"/>
              </w:rPr>
            </w:pPr>
          </w:p>
          <w:p w:rsidR="000F6AE8" w:rsidRPr="004228FD" w:rsidRDefault="009C30E9" w:rsidP="000F6AE8">
            <w:pPr>
              <w:rPr>
                <w:rFonts w:cs="Calibri"/>
                <w:sz w:val="20"/>
                <w:szCs w:val="20"/>
              </w:rPr>
            </w:pPr>
            <w:r>
              <w:rPr>
                <w:sz w:val="20"/>
              </w:rPr>
              <w:t>Aucune preuve ne permet de confirmer que l’organisme de service a réévalué l’aptitude de la famille hôte à la suite de changements importants concernant la famille hôte, la personne placée et/ou ses conditions (p. ex. maladie physique ou mentale, décès d’un membre de la famille, accident).</w:t>
            </w:r>
          </w:p>
        </w:tc>
        <w:tc>
          <w:tcPr>
            <w:tcW w:w="636" w:type="pct"/>
            <w:tcBorders>
              <w:top w:val="single" w:sz="4" w:space="0" w:color="000000"/>
              <w:left w:val="single" w:sz="4" w:space="0" w:color="000000"/>
              <w:bottom w:val="single" w:sz="4" w:space="0" w:color="000000"/>
              <w:right w:val="single" w:sz="4" w:space="0" w:color="000000"/>
            </w:tcBorders>
          </w:tcPr>
          <w:p w:rsidR="00DF64C3" w:rsidRDefault="00DF64C3" w:rsidP="000F6AE8">
            <w:pPr>
              <w:rPr>
                <w:rFonts w:cs="Calibri"/>
                <w:sz w:val="20"/>
                <w:szCs w:val="20"/>
              </w:rPr>
            </w:pPr>
          </w:p>
          <w:p w:rsidR="000F6AE8" w:rsidRPr="004228FD" w:rsidRDefault="009C30E9" w:rsidP="000F6AE8">
            <w:pPr>
              <w:rPr>
                <w:rFonts w:cs="Calibri"/>
                <w:sz w:val="20"/>
                <w:szCs w:val="20"/>
              </w:rPr>
            </w:pPr>
            <w:r>
              <w:rPr>
                <w:sz w:val="20"/>
              </w:rPr>
              <w:t>Il est nécessaire, dans les 24 heures qui suivent la réception de la lettre de non-conformité, de fournir une réponse et/ou de justifier les actions réalisées en décrivant les mesures correctives et les délais de résolution du problème</w:t>
            </w:r>
            <w:r w:rsidR="00B74868">
              <w:rPr>
                <w:sz w:val="20"/>
              </w:rPr>
              <w:t>.</w:t>
            </w:r>
            <w:r>
              <w:rPr>
                <w:sz w:val="20"/>
              </w:rPr>
              <w:t xml:space="preserve"> Il convient d’envoyer, dans les 10 jours ouvrables, une lettre ou un document confirmant que la mesure corrective a été menée à bien.</w:t>
            </w: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0B206A">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Pr>
                <w:rFonts w:asciiTheme="minorHAnsi" w:eastAsiaTheme="majorEastAsia" w:hAnsiTheme="minorHAnsi" w:cstheme="minorHAnsi"/>
                <w:b/>
                <w:kern w:val="32"/>
                <w:sz w:val="24"/>
              </w:rPr>
              <w:t>Dossiers et documents</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A4611C" w:rsidP="000F6AE8">
            <w:pPr>
              <w:jc w:val="center"/>
              <w:rPr>
                <w:rFonts w:cs="Calibri"/>
              </w:rPr>
            </w:pPr>
            <w:r>
              <w:rPr>
                <w:b/>
              </w:rPr>
              <w:t>Risque</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Pr>
                <w:b/>
              </w:rPr>
              <w:t>Indicateur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Pr>
                <w:b/>
              </w:rPr>
              <w:t>Non-conformité constatée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Pr>
                <w:b/>
              </w:rPr>
              <w:t>Exigence de conformité</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F11E06" w:rsidRDefault="00F11E06" w:rsidP="00F11E06">
            <w:pPr>
              <w:spacing w:before="48"/>
              <w:ind w:left="35"/>
              <w:rPr>
                <w:rFonts w:cs="Calibri"/>
                <w:sz w:val="20"/>
                <w:szCs w:val="20"/>
              </w:rPr>
            </w:pPr>
          </w:p>
          <w:p w:rsidR="000F6AE8" w:rsidRDefault="002D62EA" w:rsidP="00F11E06">
            <w:pPr>
              <w:spacing w:before="7" w:line="190" w:lineRule="exact"/>
              <w:rPr>
                <w:rFonts w:cs="Calibri"/>
                <w:sz w:val="20"/>
                <w:szCs w:val="20"/>
              </w:rPr>
            </w:pPr>
            <w:r>
              <w:rPr>
                <w:sz w:val="20"/>
              </w:rPr>
              <w:t>60</w:t>
            </w:r>
            <w:r w:rsidR="00B74868">
              <w:rPr>
                <w:sz w:val="20"/>
              </w:rPr>
              <w:t xml:space="preserve">. </w:t>
            </w:r>
            <w:r>
              <w:rPr>
                <w:sz w:val="20"/>
              </w:rPr>
              <w:t>Famille hôte, réévaluation; nouvel adulte</w:t>
            </w:r>
          </w:p>
          <w:p w:rsidR="009B6665" w:rsidRPr="004228FD" w:rsidRDefault="009B6665" w:rsidP="00F11E06">
            <w:pPr>
              <w:spacing w:before="7" w:line="190" w:lineRule="exact"/>
              <w:rPr>
                <w:rFonts w:cs="Calibri"/>
                <w:sz w:val="20"/>
                <w:szCs w:val="20"/>
              </w:rPr>
            </w:pPr>
          </w:p>
          <w:p w:rsidR="00801F4C" w:rsidRDefault="00801F4C" w:rsidP="00F11E06">
            <w:pPr>
              <w:widowControl/>
              <w:rPr>
                <w:rFonts w:cs="Calibri"/>
                <w:sz w:val="20"/>
                <w:szCs w:val="20"/>
              </w:rPr>
            </w:pPr>
            <w:r>
              <w:rPr>
                <w:sz w:val="20"/>
              </w:rPr>
              <w:t xml:space="preserve">Les organismes de service sont tenus de réévaluer l’aptitude d’une famille hôte lorsqu’un nouvel adulte vient vivre dans la résidence à temps plein ou à temps partiel. </w:t>
            </w:r>
          </w:p>
          <w:p w:rsidR="00801F4C" w:rsidRDefault="00801F4C" w:rsidP="00F11E06">
            <w:pPr>
              <w:widowControl/>
              <w:rPr>
                <w:rFonts w:cs="Calibri"/>
                <w:sz w:val="20"/>
                <w:szCs w:val="20"/>
              </w:rPr>
            </w:pPr>
          </w:p>
          <w:p w:rsidR="000F6AE8" w:rsidRPr="004228FD" w:rsidRDefault="00F11E06" w:rsidP="00F11E06">
            <w:pPr>
              <w:widowControl/>
              <w:rPr>
                <w:rFonts w:cs="Calibri"/>
                <w:sz w:val="16"/>
                <w:szCs w:val="16"/>
              </w:rPr>
            </w:pPr>
            <w:r>
              <w:rPr>
                <w:sz w:val="20"/>
              </w:rPr>
              <w:t>Directives en matière de politique s’appliquant aux organismes de service en ce qui a trait au Programme de placement en famille hôte 1.0</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rPr>
                <w:sz w:val="20"/>
              </w:rPr>
            </w:pPr>
          </w:p>
          <w:p w:rsidR="00A54D42" w:rsidRDefault="00A54D42" w:rsidP="00ED579D">
            <w:pPr>
              <w:rPr>
                <w:rFonts w:asciiTheme="minorHAnsi" w:hAnsiTheme="minorHAnsi" w:cstheme="minorHAnsi"/>
                <w:sz w:val="20"/>
                <w:szCs w:val="20"/>
              </w:rPr>
            </w:pPr>
            <w:r>
              <w:rPr>
                <w:sz w:val="20"/>
              </w:rPr>
              <w:t>Le ministère reconnaît que des changements peuvent survenir tout au long de la vie et que certains d’entre eux sont susceptibles d’avoir d’importantes répercussions sur une personne, sa famille et/ou ses conditions de vie.</w:t>
            </w:r>
          </w:p>
          <w:p w:rsidR="00A54D42" w:rsidRDefault="00A54D42" w:rsidP="00ED579D">
            <w:pPr>
              <w:rPr>
                <w:rFonts w:asciiTheme="minorHAnsi" w:hAnsiTheme="minorHAnsi" w:cstheme="minorHAnsi"/>
                <w:sz w:val="20"/>
                <w:szCs w:val="20"/>
              </w:rPr>
            </w:pPr>
          </w:p>
          <w:p w:rsidR="000F6AE8" w:rsidRPr="004B20ED" w:rsidRDefault="00A54D42" w:rsidP="00ED579D">
            <w:pPr>
              <w:rPr>
                <w:sz w:val="20"/>
                <w:szCs w:val="20"/>
              </w:rPr>
            </w:pPr>
            <w:r>
              <w:rPr>
                <w:sz w:val="20"/>
              </w:rPr>
              <w:t>Lorsqu’un nouvel adulte vient vivre dans la résidence à temps plein ou à temps partiel, il est important de réévaluer non seulement l’aptitude de la famille hôte à continuer de remplir son rôle de famille hôte, mais aussi la sécurité au sein de la résidence (notamment à l’aide d’une vérification des dossiers de police, d’une vérification des antécédents en vue d’un travail auprès de personnes vulnérables et de références personnelles).</w:t>
            </w:r>
          </w:p>
          <w:p w:rsidR="000F6AE8" w:rsidRPr="004228FD" w:rsidRDefault="000F6AE8" w:rsidP="000F6AE8">
            <w:pPr>
              <w:autoSpaceDE w:val="0"/>
              <w:autoSpaceDN w:val="0"/>
              <w:adjustRightInd w:val="0"/>
              <w:rPr>
                <w:rFonts w:cs="Calibri"/>
                <w:sz w:val="20"/>
                <w:szCs w:val="20"/>
              </w:rPr>
            </w:pPr>
          </w:p>
          <w:p w:rsidR="0055482B" w:rsidRDefault="0055482B" w:rsidP="0055482B">
            <w:pPr>
              <w:autoSpaceDE w:val="0"/>
              <w:autoSpaceDN w:val="0"/>
              <w:adjustRightInd w:val="0"/>
              <w:rPr>
                <w:rFonts w:cs="Calibri"/>
                <w:sz w:val="20"/>
                <w:szCs w:val="20"/>
              </w:rPr>
            </w:pPr>
            <w:r>
              <w:rPr>
                <w:sz w:val="20"/>
              </w:rPr>
              <w:t>L’organisme de service devrait envisager d’inclure cette exigence dans ses politiques et consignes écrites régissant le processus de présélection des familles hôtes.</w:t>
            </w: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F11E06" w:rsidRDefault="00F11E06" w:rsidP="000F6AE8">
            <w:pPr>
              <w:rPr>
                <w:rFonts w:cs="Calibri"/>
                <w:sz w:val="20"/>
                <w:szCs w:val="20"/>
              </w:rPr>
            </w:pPr>
          </w:p>
          <w:p w:rsidR="000F6AE8" w:rsidRPr="004228FD" w:rsidRDefault="007A4CCA" w:rsidP="00F11E06">
            <w:pPr>
              <w:jc w:val="center"/>
              <w:rPr>
                <w:rFonts w:cs="Calibri"/>
                <w:sz w:val="20"/>
                <w:szCs w:val="20"/>
              </w:rPr>
            </w:pPr>
            <w:r>
              <w:rPr>
                <w:sz w:val="20"/>
              </w:rPr>
              <w:t>ÉLEVÉ</w:t>
            </w:r>
          </w:p>
          <w:p w:rsidR="000F6AE8" w:rsidRPr="004228FD" w:rsidRDefault="000F6AE8" w:rsidP="000F6AE8">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F11E06" w:rsidRDefault="00F11E06" w:rsidP="000F6AE8">
            <w:pPr>
              <w:autoSpaceDE w:val="0"/>
              <w:autoSpaceDN w:val="0"/>
              <w:adjustRightInd w:val="0"/>
              <w:rPr>
                <w:rFonts w:cs="Calibri"/>
                <w:sz w:val="20"/>
                <w:szCs w:val="20"/>
              </w:rPr>
            </w:pPr>
          </w:p>
          <w:p w:rsidR="000F6AE8" w:rsidRDefault="00F11E06" w:rsidP="000F6AE8">
            <w:pPr>
              <w:autoSpaceDE w:val="0"/>
              <w:autoSpaceDN w:val="0"/>
              <w:adjustRightInd w:val="0"/>
              <w:rPr>
                <w:rFonts w:cs="Calibri"/>
                <w:sz w:val="20"/>
                <w:szCs w:val="20"/>
              </w:rPr>
            </w:pPr>
            <w:r>
              <w:rPr>
                <w:color w:val="FF0000"/>
                <w:sz w:val="20"/>
              </w:rPr>
              <w:t>(Il peut</w:t>
            </w:r>
            <w:r w:rsidR="00F9406D">
              <w:rPr>
                <w:color w:val="FF0000"/>
                <w:sz w:val="20"/>
              </w:rPr>
              <w:t xml:space="preserve"> </w:t>
            </w:r>
            <w:r>
              <w:rPr>
                <w:color w:val="FF0000"/>
                <w:sz w:val="20"/>
              </w:rPr>
              <w:t xml:space="preserve">être nécessaire de demander à l’organisme) </w:t>
            </w:r>
            <w:r>
              <w:rPr>
                <w:sz w:val="20"/>
              </w:rPr>
              <w:t>Correspondance, rapports de suivi trimestriels, documents de réévaluation.</w:t>
            </w:r>
          </w:p>
          <w:p w:rsidR="00ED579D" w:rsidRDefault="00ED579D" w:rsidP="000F6AE8">
            <w:pPr>
              <w:autoSpaceDE w:val="0"/>
              <w:autoSpaceDN w:val="0"/>
              <w:adjustRightInd w:val="0"/>
              <w:rPr>
                <w:rFonts w:cs="Calibri"/>
                <w:sz w:val="20"/>
                <w:szCs w:val="20"/>
              </w:rPr>
            </w:pPr>
          </w:p>
          <w:p w:rsidR="00ED579D" w:rsidRPr="004228FD" w:rsidRDefault="00ED579D" w:rsidP="000F6AE8">
            <w:pPr>
              <w:autoSpaceDE w:val="0"/>
              <w:autoSpaceDN w:val="0"/>
              <w:adjustRightInd w:val="0"/>
              <w:rPr>
                <w:rFonts w:asciiTheme="minorHAnsi" w:hAnsiTheme="minorHAnsi" w:cstheme="minorHAnsi"/>
                <w:sz w:val="20"/>
                <w:szCs w:val="20"/>
              </w:rPr>
            </w:pPr>
          </w:p>
          <w:p w:rsidR="000F6AE8" w:rsidRPr="004228FD" w:rsidRDefault="000F6AE8" w:rsidP="000F6AE8">
            <w:pPr>
              <w:autoSpaceDE w:val="0"/>
              <w:autoSpaceDN w:val="0"/>
              <w:adjustRightInd w:val="0"/>
              <w:rPr>
                <w:rFonts w:asciiTheme="minorHAnsi" w:hAnsiTheme="minorHAnsi" w:cstheme="minorHAnsi"/>
                <w:sz w:val="20"/>
                <w:szCs w:val="20"/>
              </w:rPr>
            </w:pP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F11E06" w:rsidRDefault="00F11E06" w:rsidP="000F6AE8">
            <w:pPr>
              <w:rPr>
                <w:rFonts w:cs="Calibri"/>
                <w:sz w:val="20"/>
                <w:szCs w:val="20"/>
              </w:rPr>
            </w:pPr>
          </w:p>
          <w:p w:rsidR="000F6AE8" w:rsidRPr="004228FD" w:rsidRDefault="009C30E9" w:rsidP="009B6665">
            <w:pPr>
              <w:rPr>
                <w:rFonts w:cs="Calibri"/>
                <w:sz w:val="20"/>
                <w:szCs w:val="20"/>
              </w:rPr>
            </w:pPr>
            <w:r>
              <w:rPr>
                <w:sz w:val="20"/>
              </w:rPr>
              <w:t>Aucune preuve ne permet de confirmer que l’organisme de service a réévalué l’aptitude de la famille hôte lorsqu’un nouvel adulte a emménagé dans la résidence à temps plein ou à temps partiel.</w:t>
            </w:r>
          </w:p>
        </w:tc>
        <w:tc>
          <w:tcPr>
            <w:tcW w:w="636" w:type="pct"/>
            <w:tcBorders>
              <w:top w:val="single" w:sz="4" w:space="0" w:color="000000"/>
              <w:left w:val="single" w:sz="4" w:space="0" w:color="000000"/>
              <w:bottom w:val="single" w:sz="4" w:space="0" w:color="000000"/>
              <w:right w:val="single" w:sz="4" w:space="0" w:color="000000"/>
            </w:tcBorders>
          </w:tcPr>
          <w:p w:rsidR="00F11E06" w:rsidRDefault="00F11E06" w:rsidP="000F6AE8">
            <w:pPr>
              <w:rPr>
                <w:rFonts w:cs="Calibri"/>
                <w:sz w:val="20"/>
                <w:szCs w:val="20"/>
              </w:rPr>
            </w:pPr>
          </w:p>
          <w:p w:rsidR="000F6AE8" w:rsidRPr="004228FD" w:rsidRDefault="009C30E9" w:rsidP="000F6AE8">
            <w:pPr>
              <w:rPr>
                <w:rFonts w:cs="Calibri"/>
                <w:sz w:val="20"/>
                <w:szCs w:val="20"/>
              </w:rPr>
            </w:pPr>
            <w:r>
              <w:rPr>
                <w:sz w:val="20"/>
              </w:rPr>
              <w:t>Il est nécessaire, dans les 24 heures qui suivent la réception de la lettre de non-conformité, de fournir une réponse et/ou de justifier les actions réalisées en décrivant les mesures correctives et les délais de résolution du problème</w:t>
            </w:r>
            <w:r w:rsidR="00B74868">
              <w:rPr>
                <w:sz w:val="20"/>
              </w:rPr>
              <w:t>.</w:t>
            </w:r>
            <w:r>
              <w:rPr>
                <w:sz w:val="20"/>
              </w:rPr>
              <w:t xml:space="preserve"> Il convient d’envoyer, dans les 10 jours ouvrables, une lettre ou un document confirmant que la mesure corrective a été menée à bien.</w:t>
            </w: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Pr>
                <w:rFonts w:asciiTheme="minorHAnsi" w:eastAsiaTheme="majorEastAsia" w:hAnsiTheme="minorHAnsi" w:cstheme="minorHAnsi"/>
                <w:b/>
                <w:kern w:val="32"/>
                <w:sz w:val="24"/>
              </w:rPr>
              <w:t>Dossiers et documents</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A4611C" w:rsidP="000F6AE8">
            <w:pPr>
              <w:jc w:val="center"/>
              <w:rPr>
                <w:rFonts w:cs="Calibri"/>
              </w:rPr>
            </w:pPr>
            <w:r>
              <w:rPr>
                <w:b/>
              </w:rPr>
              <w:t>Risque</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Pr>
                <w:b/>
              </w:rPr>
              <w:t>Indicateur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Pr>
                <w:b/>
              </w:rPr>
              <w:t>Non-conformité constatée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Pr>
                <w:b/>
              </w:rPr>
              <w:t>Exigence de conformité</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77750A" w:rsidRDefault="0077750A" w:rsidP="0077750A">
            <w:pPr>
              <w:spacing w:before="48"/>
              <w:ind w:left="35"/>
              <w:rPr>
                <w:rFonts w:cs="Calibri"/>
                <w:sz w:val="20"/>
                <w:szCs w:val="20"/>
              </w:rPr>
            </w:pPr>
          </w:p>
          <w:p w:rsidR="000F6AE8" w:rsidRPr="0077750A" w:rsidRDefault="0077750A" w:rsidP="0077750A">
            <w:pPr>
              <w:spacing w:before="48"/>
              <w:rPr>
                <w:rFonts w:cs="Calibri"/>
                <w:sz w:val="20"/>
                <w:szCs w:val="20"/>
              </w:rPr>
            </w:pPr>
            <w:r>
              <w:rPr>
                <w:sz w:val="20"/>
              </w:rPr>
              <w:t>61. Réévaluation, inaptitude à fournir des soins</w:t>
            </w:r>
          </w:p>
          <w:p w:rsidR="000F6AE8" w:rsidRPr="0077750A" w:rsidRDefault="000F6AE8" w:rsidP="0077750A">
            <w:pPr>
              <w:spacing w:before="7" w:line="190" w:lineRule="exact"/>
              <w:rPr>
                <w:rFonts w:cs="Calibri"/>
                <w:sz w:val="20"/>
                <w:szCs w:val="20"/>
              </w:rPr>
            </w:pPr>
          </w:p>
          <w:p w:rsidR="0077750A" w:rsidRDefault="00ED579D" w:rsidP="0077750A">
            <w:pPr>
              <w:rPr>
                <w:rFonts w:cs="Calibri"/>
                <w:color w:val="000000"/>
                <w:sz w:val="20"/>
                <w:szCs w:val="20"/>
              </w:rPr>
            </w:pPr>
            <w:r>
              <w:rPr>
                <w:color w:val="000000"/>
                <w:sz w:val="20"/>
              </w:rPr>
              <w:t>Les organismes de service sont tenus de réévaluer l’aptitude d’une famille hôte lorsque le fournisseur principal de soins de la famille hôte n’est plus capable de s’occuper de la personne placée.</w:t>
            </w:r>
          </w:p>
          <w:p w:rsidR="00ED579D" w:rsidRPr="0077750A" w:rsidRDefault="00ED579D" w:rsidP="0077750A">
            <w:pPr>
              <w:rPr>
                <w:rFonts w:cs="Calibri"/>
                <w:color w:val="000000"/>
                <w:sz w:val="20"/>
                <w:szCs w:val="20"/>
              </w:rPr>
            </w:pPr>
          </w:p>
          <w:p w:rsidR="0077750A" w:rsidRPr="0077750A" w:rsidRDefault="0077750A" w:rsidP="0077750A">
            <w:pPr>
              <w:rPr>
                <w:rFonts w:cs="Calibri"/>
                <w:color w:val="000000"/>
                <w:sz w:val="20"/>
                <w:szCs w:val="20"/>
              </w:rPr>
            </w:pPr>
            <w:r>
              <w:rPr>
                <w:color w:val="000000"/>
                <w:sz w:val="20"/>
              </w:rPr>
              <w:t>Directives en matière de politique s’appliquant aux organismes de service en ce qui a trait au Programme de placement en famille hôte 1.0</w:t>
            </w:r>
          </w:p>
          <w:p w:rsidR="000F6AE8" w:rsidRPr="0077750A" w:rsidRDefault="000F6AE8" w:rsidP="000F6AE8">
            <w:pPr>
              <w:widowControl/>
              <w:rPr>
                <w:rFonts w:cs="Calibri"/>
                <w:sz w:val="20"/>
                <w:szCs w:val="20"/>
              </w:rPr>
            </w:pP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autoSpaceDE w:val="0"/>
              <w:autoSpaceDN w:val="0"/>
              <w:adjustRightInd w:val="0"/>
              <w:rPr>
                <w:rFonts w:cs="Calibri"/>
                <w:sz w:val="20"/>
                <w:szCs w:val="20"/>
              </w:rPr>
            </w:pPr>
          </w:p>
          <w:p w:rsidR="00A54D42" w:rsidRDefault="00A54D42" w:rsidP="000F6AE8">
            <w:pPr>
              <w:autoSpaceDE w:val="0"/>
              <w:autoSpaceDN w:val="0"/>
              <w:adjustRightInd w:val="0"/>
              <w:rPr>
                <w:rFonts w:asciiTheme="minorHAnsi" w:hAnsiTheme="minorHAnsi" w:cstheme="minorHAnsi"/>
                <w:sz w:val="20"/>
                <w:szCs w:val="20"/>
              </w:rPr>
            </w:pPr>
            <w:r>
              <w:rPr>
                <w:sz w:val="20"/>
              </w:rPr>
              <w:t>Le ministère reconnaît que des changements peuvent survenir tout au long de la vie et que certains d’entre eux sont susceptibles d’avoir d’importantes répercussions sur une personne, sa famille et/ou ses conditions de vie.</w:t>
            </w:r>
          </w:p>
          <w:p w:rsidR="00A54D42" w:rsidRDefault="00A54D42" w:rsidP="000F6AE8">
            <w:pPr>
              <w:autoSpaceDE w:val="0"/>
              <w:autoSpaceDN w:val="0"/>
              <w:adjustRightInd w:val="0"/>
              <w:rPr>
                <w:rFonts w:asciiTheme="minorHAnsi" w:hAnsiTheme="minorHAnsi" w:cstheme="minorHAnsi"/>
                <w:sz w:val="20"/>
                <w:szCs w:val="20"/>
              </w:rPr>
            </w:pPr>
          </w:p>
          <w:p w:rsidR="000F6AE8" w:rsidRPr="004228FD" w:rsidRDefault="00514B17" w:rsidP="000F6AE8">
            <w:pPr>
              <w:autoSpaceDE w:val="0"/>
              <w:autoSpaceDN w:val="0"/>
              <w:adjustRightInd w:val="0"/>
              <w:rPr>
                <w:rFonts w:cs="Calibri"/>
                <w:sz w:val="20"/>
                <w:szCs w:val="20"/>
              </w:rPr>
            </w:pPr>
            <w:r>
              <w:rPr>
                <w:rFonts w:asciiTheme="minorHAnsi" w:hAnsiTheme="minorHAnsi" w:cstheme="minorHAnsi"/>
                <w:sz w:val="20"/>
              </w:rPr>
              <w:t>Il est important de réévaluer l’aptitude d’une famille hôte à continuer de remplir son rôle de famille hôte lorsque le fournisseur principal de soins n’est plus capable de s’occuper de la personne placée.</w:t>
            </w:r>
          </w:p>
          <w:p w:rsidR="000F6AE8" w:rsidRPr="004228FD" w:rsidRDefault="000F6AE8" w:rsidP="000F6AE8">
            <w:pPr>
              <w:autoSpaceDE w:val="0"/>
              <w:autoSpaceDN w:val="0"/>
              <w:adjustRightInd w:val="0"/>
              <w:rPr>
                <w:rFonts w:cs="Calibri"/>
                <w:sz w:val="20"/>
                <w:szCs w:val="20"/>
              </w:rPr>
            </w:pPr>
          </w:p>
          <w:p w:rsidR="0055482B" w:rsidRDefault="0055482B" w:rsidP="0055482B">
            <w:pPr>
              <w:autoSpaceDE w:val="0"/>
              <w:autoSpaceDN w:val="0"/>
              <w:adjustRightInd w:val="0"/>
              <w:rPr>
                <w:rFonts w:cs="Calibri"/>
                <w:sz w:val="20"/>
                <w:szCs w:val="20"/>
              </w:rPr>
            </w:pPr>
            <w:r>
              <w:rPr>
                <w:sz w:val="20"/>
              </w:rPr>
              <w:t>L’organisme de service devrait envisager d’inclure cette exigence dans ses politiques et consignes écrites régissant le processus de présélection des familles hôtes.</w:t>
            </w:r>
          </w:p>
          <w:p w:rsidR="000F6AE8" w:rsidRPr="004228FD" w:rsidRDefault="000F6AE8" w:rsidP="000F6AE8">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77750A" w:rsidRDefault="0077750A" w:rsidP="000F6AE8">
            <w:pPr>
              <w:rPr>
                <w:rFonts w:cs="Calibri"/>
                <w:sz w:val="20"/>
                <w:szCs w:val="20"/>
              </w:rPr>
            </w:pPr>
          </w:p>
          <w:p w:rsidR="000F6AE8" w:rsidRPr="004228FD" w:rsidRDefault="007A4CCA" w:rsidP="0077750A">
            <w:pPr>
              <w:jc w:val="center"/>
              <w:rPr>
                <w:rFonts w:cs="Calibri"/>
                <w:sz w:val="20"/>
                <w:szCs w:val="20"/>
              </w:rPr>
            </w:pPr>
            <w:r>
              <w:rPr>
                <w:sz w:val="20"/>
              </w:rPr>
              <w:t>ÉLEVÉ</w:t>
            </w:r>
          </w:p>
          <w:p w:rsidR="000F6AE8" w:rsidRPr="004228FD" w:rsidRDefault="000F6AE8" w:rsidP="000F6AE8">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77750A" w:rsidRDefault="0077750A" w:rsidP="000F6AE8">
            <w:pPr>
              <w:autoSpaceDE w:val="0"/>
              <w:autoSpaceDN w:val="0"/>
              <w:adjustRightInd w:val="0"/>
              <w:rPr>
                <w:rFonts w:cs="Calibri"/>
                <w:sz w:val="20"/>
                <w:szCs w:val="20"/>
              </w:rPr>
            </w:pPr>
          </w:p>
          <w:p w:rsidR="000F6AE8" w:rsidRPr="004228FD" w:rsidRDefault="0077750A" w:rsidP="000F6AE8">
            <w:pPr>
              <w:autoSpaceDE w:val="0"/>
              <w:autoSpaceDN w:val="0"/>
              <w:adjustRightInd w:val="0"/>
              <w:rPr>
                <w:rFonts w:asciiTheme="minorHAnsi" w:hAnsiTheme="minorHAnsi" w:cstheme="minorHAnsi"/>
                <w:sz w:val="20"/>
                <w:szCs w:val="20"/>
              </w:rPr>
            </w:pPr>
            <w:r>
              <w:rPr>
                <w:sz w:val="20"/>
              </w:rPr>
              <w:t>Correspondance, rapports de suivi trimestriels, documents de réévaluation; formulaires de communication avec la famille, dossiers individuels c.-à-d.</w:t>
            </w:r>
            <w:r w:rsidR="00B74868">
              <w:rPr>
                <w:sz w:val="20"/>
              </w:rPr>
              <w:t xml:space="preserve"> </w:t>
            </w:r>
            <w:r>
              <w:rPr>
                <w:sz w:val="20"/>
              </w:rPr>
              <w:t>livres-journaux des soutiens/registres quotidiens, résultats sommaires mensuels.</w:t>
            </w:r>
          </w:p>
          <w:p w:rsidR="000F6AE8" w:rsidRPr="004228FD" w:rsidRDefault="000F6AE8" w:rsidP="000F6AE8">
            <w:pPr>
              <w:autoSpaceDE w:val="0"/>
              <w:autoSpaceDN w:val="0"/>
              <w:adjustRightInd w:val="0"/>
              <w:rPr>
                <w:rFonts w:asciiTheme="minorHAnsi" w:hAnsiTheme="minorHAnsi" w:cstheme="minorHAnsi"/>
                <w:sz w:val="20"/>
                <w:szCs w:val="20"/>
              </w:rPr>
            </w:pP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77750A" w:rsidRDefault="0077750A" w:rsidP="000F6AE8">
            <w:pPr>
              <w:rPr>
                <w:rFonts w:cs="Calibri"/>
                <w:sz w:val="20"/>
                <w:szCs w:val="20"/>
              </w:rPr>
            </w:pPr>
          </w:p>
          <w:p w:rsidR="000F6AE8" w:rsidRPr="004228FD" w:rsidRDefault="007A4CCA" w:rsidP="00637B60">
            <w:pPr>
              <w:rPr>
                <w:rFonts w:cs="Calibri"/>
                <w:sz w:val="20"/>
                <w:szCs w:val="20"/>
              </w:rPr>
            </w:pPr>
            <w:r>
              <w:rPr>
                <w:sz w:val="20"/>
              </w:rPr>
              <w:t>Aucune preuve ne permet de confirmer que l’organisme de service a réévalué l’aptitude de la famille hôte lorsque le fournisseur principal de soins de la famille hôte s’est retrouvé incapable de s’occuper de la personne placée.</w:t>
            </w:r>
          </w:p>
        </w:tc>
        <w:tc>
          <w:tcPr>
            <w:tcW w:w="636" w:type="pct"/>
            <w:tcBorders>
              <w:top w:val="single" w:sz="4" w:space="0" w:color="000000"/>
              <w:left w:val="single" w:sz="4" w:space="0" w:color="000000"/>
              <w:bottom w:val="single" w:sz="4" w:space="0" w:color="000000"/>
              <w:right w:val="single" w:sz="4" w:space="0" w:color="000000"/>
            </w:tcBorders>
          </w:tcPr>
          <w:p w:rsidR="0077750A" w:rsidRDefault="0077750A" w:rsidP="000F6AE8">
            <w:pPr>
              <w:rPr>
                <w:rFonts w:cs="Calibri"/>
                <w:sz w:val="20"/>
                <w:szCs w:val="20"/>
              </w:rPr>
            </w:pPr>
          </w:p>
          <w:p w:rsidR="007A4CCA" w:rsidRPr="004228FD" w:rsidRDefault="007A4CCA" w:rsidP="007A4CCA">
            <w:pPr>
              <w:rPr>
                <w:rFonts w:cs="Calibri"/>
                <w:sz w:val="20"/>
                <w:szCs w:val="20"/>
              </w:rPr>
            </w:pPr>
            <w:r>
              <w:rPr>
                <w:sz w:val="20"/>
              </w:rPr>
              <w:t>Il est nécessaire, dans les 24 heures qui suivent la réception de la lettre de non-conformité, de fournir une réponse et/ou de justifier les actions réalisées en décrivant les mesures correctives et les délais de résolution du problème</w:t>
            </w:r>
            <w:r w:rsidR="00B74868">
              <w:rPr>
                <w:sz w:val="20"/>
              </w:rPr>
              <w:t>.</w:t>
            </w:r>
            <w:r>
              <w:rPr>
                <w:sz w:val="20"/>
              </w:rPr>
              <w:t xml:space="preserve"> Il convient d’envoyer, dans les 10 jours ouvrables, une lettre ou un document confirmant que la mesure corrective a été menée à bien.</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Pr>
                <w:rFonts w:asciiTheme="minorHAnsi" w:eastAsiaTheme="majorEastAsia" w:hAnsiTheme="minorHAnsi" w:cstheme="minorHAnsi"/>
                <w:b/>
                <w:kern w:val="32"/>
                <w:sz w:val="24"/>
              </w:rPr>
              <w:t>Dossiers et documents</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A4611C" w:rsidP="000F6AE8">
            <w:pPr>
              <w:jc w:val="center"/>
              <w:rPr>
                <w:rFonts w:cs="Calibri"/>
              </w:rPr>
            </w:pPr>
            <w:r>
              <w:rPr>
                <w:b/>
              </w:rPr>
              <w:t>Risque</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Pr>
                <w:b/>
              </w:rPr>
              <w:t>Indicateur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Pr>
                <w:b/>
              </w:rPr>
              <w:t>Non-conformité constatée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Pr>
                <w:b/>
              </w:rPr>
              <w:t>Exigence de conformité</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F5728C" w:rsidRDefault="00F5728C" w:rsidP="00F5728C">
            <w:pPr>
              <w:spacing w:before="48"/>
              <w:rPr>
                <w:rFonts w:cs="Calibri"/>
                <w:sz w:val="20"/>
                <w:szCs w:val="20"/>
              </w:rPr>
            </w:pPr>
          </w:p>
          <w:p w:rsidR="000F6AE8" w:rsidRPr="004228FD" w:rsidRDefault="0077750A" w:rsidP="00F5728C">
            <w:pPr>
              <w:spacing w:before="48"/>
              <w:rPr>
                <w:rFonts w:cs="Calibri"/>
                <w:sz w:val="20"/>
                <w:szCs w:val="20"/>
              </w:rPr>
            </w:pPr>
            <w:r>
              <w:rPr>
                <w:sz w:val="20"/>
              </w:rPr>
              <w:t>62. Réévaluation, préoccupations</w:t>
            </w:r>
          </w:p>
          <w:p w:rsidR="000F6AE8" w:rsidRPr="004228FD" w:rsidRDefault="000F6AE8" w:rsidP="00F5728C">
            <w:pPr>
              <w:spacing w:before="7" w:line="190" w:lineRule="exact"/>
              <w:rPr>
                <w:rFonts w:cs="Calibri"/>
                <w:sz w:val="20"/>
                <w:szCs w:val="20"/>
              </w:rPr>
            </w:pPr>
          </w:p>
          <w:p w:rsidR="0077750A" w:rsidRDefault="00ED579D" w:rsidP="00F5728C">
            <w:pPr>
              <w:widowControl/>
              <w:rPr>
                <w:rFonts w:cs="Calibri"/>
                <w:sz w:val="20"/>
                <w:szCs w:val="20"/>
              </w:rPr>
            </w:pPr>
            <w:r>
              <w:rPr>
                <w:sz w:val="20"/>
              </w:rPr>
              <w:t>Les organismes de service sont tenus de réévaluer l’aptitude d’une famille hôte lorsque l’organisme de service, la personne placée ou sa famille naturelle a des préoccupations importantes au sujet du placement.</w:t>
            </w:r>
          </w:p>
          <w:p w:rsidR="00ED579D" w:rsidRDefault="00ED579D" w:rsidP="00F5728C">
            <w:pPr>
              <w:widowControl/>
              <w:rPr>
                <w:rFonts w:cs="Calibri"/>
                <w:sz w:val="20"/>
                <w:szCs w:val="20"/>
              </w:rPr>
            </w:pPr>
          </w:p>
          <w:p w:rsidR="000F6AE8" w:rsidRPr="004228FD" w:rsidRDefault="0077750A" w:rsidP="00F5728C">
            <w:pPr>
              <w:widowControl/>
              <w:rPr>
                <w:rFonts w:cs="Calibri"/>
                <w:sz w:val="16"/>
                <w:szCs w:val="16"/>
              </w:rPr>
            </w:pPr>
            <w:r>
              <w:rPr>
                <w:sz w:val="20"/>
              </w:rPr>
              <w:t>Directives en matière de politique s’appliquant aux organismes de service en ce qui a trait au Programme de placement en famille hôte 1.0</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rPr>
                <w:rFonts w:cs="Calibri"/>
                <w:sz w:val="20"/>
                <w:szCs w:val="20"/>
              </w:rPr>
            </w:pPr>
          </w:p>
          <w:p w:rsidR="00514B17" w:rsidRDefault="00514B17" w:rsidP="000F6AE8">
            <w:pPr>
              <w:rPr>
                <w:sz w:val="20"/>
                <w:szCs w:val="20"/>
              </w:rPr>
            </w:pPr>
            <w:r>
              <w:rPr>
                <w:sz w:val="20"/>
              </w:rPr>
              <w:t>Le ministère reconnaît que des changements peuvent survenir tout au long de la vie et que certains d’entre eux sont susceptibles d’avoir d’importantes répercussions sur une personne, sa famille et/ou ses conditions de vie.</w:t>
            </w:r>
          </w:p>
          <w:p w:rsidR="00514B17" w:rsidRDefault="00514B17" w:rsidP="000F6AE8">
            <w:pPr>
              <w:rPr>
                <w:rFonts w:asciiTheme="minorHAnsi" w:hAnsiTheme="minorHAnsi" w:cstheme="minorHAnsi"/>
                <w:sz w:val="20"/>
                <w:szCs w:val="20"/>
              </w:rPr>
            </w:pPr>
          </w:p>
          <w:p w:rsidR="000F6AE8" w:rsidRPr="004228FD" w:rsidRDefault="00514B17" w:rsidP="000F6AE8">
            <w:pPr>
              <w:rPr>
                <w:rFonts w:asciiTheme="minorHAnsi" w:hAnsiTheme="minorHAnsi" w:cstheme="minorHAnsi"/>
                <w:sz w:val="20"/>
                <w:szCs w:val="20"/>
              </w:rPr>
            </w:pPr>
            <w:r>
              <w:rPr>
                <w:rFonts w:asciiTheme="minorHAnsi" w:hAnsiTheme="minorHAnsi" w:cstheme="minorHAnsi"/>
                <w:sz w:val="20"/>
              </w:rPr>
              <w:t>Lorsque l’organisme de service a des préoccupations pertinentes sur le placement, il est important de réévaluer non seulement l’aptitude de la famille hôte à continuer de remplir son rôle de famille hôte, mais aussi la sécurité de la personne ayant une déficience intellectuelle.</w:t>
            </w:r>
          </w:p>
          <w:p w:rsidR="000F6AE8" w:rsidRPr="004228FD" w:rsidRDefault="000F6AE8" w:rsidP="000F6AE8">
            <w:pPr>
              <w:autoSpaceDE w:val="0"/>
              <w:autoSpaceDN w:val="0"/>
              <w:adjustRightInd w:val="0"/>
              <w:rPr>
                <w:rFonts w:cs="Calibri"/>
                <w:sz w:val="20"/>
                <w:szCs w:val="20"/>
              </w:rPr>
            </w:pPr>
          </w:p>
          <w:p w:rsidR="006A0E8C" w:rsidRDefault="006A0E8C" w:rsidP="006A0E8C">
            <w:pPr>
              <w:autoSpaceDE w:val="0"/>
              <w:autoSpaceDN w:val="0"/>
              <w:adjustRightInd w:val="0"/>
              <w:rPr>
                <w:rFonts w:cs="Calibri"/>
                <w:sz w:val="20"/>
                <w:szCs w:val="20"/>
              </w:rPr>
            </w:pPr>
            <w:r>
              <w:rPr>
                <w:sz w:val="20"/>
              </w:rPr>
              <w:t>L’organisme de service devrait envisager d’inclure cette exigence dans ses politiques et consignes écrites régissant le processus de présélection des familles hôtes.</w:t>
            </w: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F5728C" w:rsidRDefault="00F5728C" w:rsidP="000F6AE8">
            <w:pPr>
              <w:rPr>
                <w:rFonts w:cs="Calibri"/>
                <w:sz w:val="20"/>
                <w:szCs w:val="20"/>
              </w:rPr>
            </w:pPr>
          </w:p>
          <w:p w:rsidR="000F6AE8" w:rsidRPr="004228FD" w:rsidRDefault="00F5728C" w:rsidP="00F5728C">
            <w:pPr>
              <w:jc w:val="center"/>
              <w:rPr>
                <w:rFonts w:cs="Calibri"/>
                <w:sz w:val="20"/>
                <w:szCs w:val="20"/>
              </w:rPr>
            </w:pPr>
            <w:r>
              <w:rPr>
                <w:sz w:val="20"/>
              </w:rPr>
              <w:t>ÉLEVÉ</w:t>
            </w:r>
          </w:p>
          <w:p w:rsidR="000F6AE8" w:rsidRPr="004228FD" w:rsidRDefault="000F6AE8" w:rsidP="000F6AE8">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0F6AE8" w:rsidRDefault="000F6AE8" w:rsidP="000F6AE8">
            <w:pPr>
              <w:autoSpaceDE w:val="0"/>
              <w:autoSpaceDN w:val="0"/>
              <w:adjustRightInd w:val="0"/>
              <w:rPr>
                <w:rFonts w:cs="Calibri"/>
                <w:sz w:val="20"/>
                <w:szCs w:val="20"/>
              </w:rPr>
            </w:pPr>
          </w:p>
          <w:p w:rsidR="00F5728C" w:rsidRPr="004228FD" w:rsidRDefault="00F5728C" w:rsidP="000F6AE8">
            <w:pPr>
              <w:autoSpaceDE w:val="0"/>
              <w:autoSpaceDN w:val="0"/>
              <w:adjustRightInd w:val="0"/>
              <w:rPr>
                <w:rFonts w:asciiTheme="minorHAnsi" w:hAnsiTheme="minorHAnsi" w:cstheme="minorHAnsi"/>
                <w:sz w:val="20"/>
                <w:szCs w:val="20"/>
              </w:rPr>
            </w:pPr>
            <w:r>
              <w:rPr>
                <w:rFonts w:asciiTheme="minorHAnsi" w:hAnsiTheme="minorHAnsi" w:cstheme="minorHAnsi"/>
                <w:sz w:val="20"/>
              </w:rPr>
              <w:t>Rapports trimestriels, documents de réévaluation. Dossiers individuels c.-à-d. livres-journaux des soutiens/registres quotidiens, résultats sommaires mensuels et grands livres financiers.</w:t>
            </w:r>
          </w:p>
          <w:p w:rsidR="000F6AE8" w:rsidRPr="004228FD" w:rsidRDefault="000F6AE8" w:rsidP="000F6AE8">
            <w:pPr>
              <w:autoSpaceDE w:val="0"/>
              <w:autoSpaceDN w:val="0"/>
              <w:adjustRightInd w:val="0"/>
              <w:rPr>
                <w:rFonts w:asciiTheme="minorHAnsi" w:hAnsiTheme="minorHAnsi" w:cstheme="minorHAnsi"/>
                <w:sz w:val="20"/>
                <w:szCs w:val="20"/>
              </w:rPr>
            </w:pP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F5728C" w:rsidRDefault="00F5728C" w:rsidP="000F6AE8">
            <w:pPr>
              <w:rPr>
                <w:rFonts w:cs="Calibri"/>
                <w:sz w:val="20"/>
                <w:szCs w:val="20"/>
              </w:rPr>
            </w:pPr>
          </w:p>
          <w:p w:rsidR="000F6AE8" w:rsidRPr="004228FD" w:rsidRDefault="00ED579D" w:rsidP="00637B60">
            <w:pPr>
              <w:rPr>
                <w:rFonts w:cs="Calibri"/>
                <w:sz w:val="20"/>
                <w:szCs w:val="20"/>
              </w:rPr>
            </w:pPr>
            <w:r>
              <w:rPr>
                <w:sz w:val="20"/>
              </w:rPr>
              <w:t>Aucune preuve ne permet de confirmer que l’organisme de service a réévalué l’aptitude de la famille hôte lorsque l’organisme de service, la personne placée ou sa famille naturelle a formulé des préoccupations importantes au sujet du placement.</w:t>
            </w:r>
          </w:p>
        </w:tc>
        <w:tc>
          <w:tcPr>
            <w:tcW w:w="636" w:type="pct"/>
            <w:tcBorders>
              <w:top w:val="single" w:sz="4" w:space="0" w:color="000000"/>
              <w:left w:val="single" w:sz="4" w:space="0" w:color="000000"/>
              <w:bottom w:val="single" w:sz="4" w:space="0" w:color="000000"/>
              <w:right w:val="single" w:sz="4" w:space="0" w:color="000000"/>
            </w:tcBorders>
          </w:tcPr>
          <w:p w:rsidR="00F5728C" w:rsidRDefault="00F5728C" w:rsidP="000F6AE8">
            <w:pPr>
              <w:rPr>
                <w:rFonts w:cs="Calibri"/>
                <w:sz w:val="20"/>
                <w:szCs w:val="20"/>
              </w:rPr>
            </w:pPr>
          </w:p>
          <w:p w:rsidR="00266731" w:rsidRPr="004228FD" w:rsidRDefault="00266731" w:rsidP="00266731">
            <w:pPr>
              <w:rPr>
                <w:rFonts w:cs="Calibri"/>
                <w:sz w:val="20"/>
                <w:szCs w:val="20"/>
              </w:rPr>
            </w:pPr>
            <w:r>
              <w:rPr>
                <w:sz w:val="20"/>
              </w:rPr>
              <w:t>Il est nécessaire, dans les 24 heures qui suivent la réception de la lettre de non-conformité, de fournir une réponse et/ou de justifier les actions réalisées en décrivant les mesures correctives et les délais de résolution du problème</w:t>
            </w:r>
            <w:r w:rsidR="00B74868">
              <w:rPr>
                <w:sz w:val="20"/>
              </w:rPr>
              <w:t>.</w:t>
            </w:r>
            <w:r>
              <w:rPr>
                <w:sz w:val="20"/>
              </w:rPr>
              <w:t xml:space="preserve"> Il convient d’envoyer, dans les 10 jours ouvrables, une lettre ou un document confirmant que la mesure corrective a été menée à bien.</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Pr>
                <w:rFonts w:asciiTheme="minorHAnsi" w:eastAsiaTheme="majorEastAsia" w:hAnsiTheme="minorHAnsi" w:cstheme="minorHAnsi"/>
                <w:b/>
                <w:kern w:val="32"/>
                <w:sz w:val="24"/>
              </w:rPr>
              <w:t>Dossiers et documents</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A4611C" w:rsidP="000F6AE8">
            <w:pPr>
              <w:jc w:val="center"/>
              <w:rPr>
                <w:rFonts w:cs="Calibri"/>
              </w:rPr>
            </w:pPr>
            <w:r>
              <w:rPr>
                <w:b/>
              </w:rPr>
              <w:t>Risque</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Pr>
                <w:b/>
              </w:rPr>
              <w:t>Indicateur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Pr>
                <w:b/>
              </w:rPr>
              <w:t>Non-conformité constatée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Pr>
                <w:b/>
              </w:rPr>
              <w:t>Exigence de conformité</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4D6C8B" w:rsidRDefault="004D6C8B" w:rsidP="004D6C8B">
            <w:pPr>
              <w:spacing w:before="48"/>
              <w:ind w:left="35"/>
              <w:rPr>
                <w:rFonts w:cs="Calibri"/>
                <w:sz w:val="20"/>
                <w:szCs w:val="20"/>
              </w:rPr>
            </w:pPr>
          </w:p>
          <w:p w:rsidR="000F6AE8" w:rsidRPr="004228FD" w:rsidRDefault="004D6C8B" w:rsidP="004D6C8B">
            <w:pPr>
              <w:spacing w:before="48"/>
              <w:rPr>
                <w:rFonts w:cs="Calibri"/>
                <w:sz w:val="20"/>
                <w:szCs w:val="20"/>
              </w:rPr>
            </w:pPr>
            <w:r>
              <w:rPr>
                <w:sz w:val="20"/>
              </w:rPr>
              <w:t>63. Convention signée</w:t>
            </w:r>
          </w:p>
          <w:p w:rsidR="000F6AE8" w:rsidRPr="004228FD" w:rsidRDefault="000F6AE8" w:rsidP="004D6C8B">
            <w:pPr>
              <w:spacing w:before="7" w:line="190" w:lineRule="exact"/>
              <w:rPr>
                <w:rFonts w:cs="Calibri"/>
                <w:sz w:val="20"/>
                <w:szCs w:val="20"/>
              </w:rPr>
            </w:pPr>
          </w:p>
          <w:p w:rsidR="00ED579D" w:rsidRDefault="00266731" w:rsidP="004D6C8B">
            <w:pPr>
              <w:widowControl/>
              <w:rPr>
                <w:rFonts w:cs="Calibri"/>
                <w:sz w:val="20"/>
                <w:szCs w:val="20"/>
              </w:rPr>
            </w:pPr>
            <w:r>
              <w:rPr>
                <w:sz w:val="20"/>
              </w:rPr>
              <w:t>Pour les placements existants et les nouveaux placements, l’organisme de service doit signer avec la famille hôte une convention prévoyant certaines exigences minimums concernant la prestation de services à la personne ayant une déficience intellectuelle.</w:t>
            </w:r>
          </w:p>
          <w:p w:rsidR="00266731" w:rsidRDefault="00266731" w:rsidP="004D6C8B">
            <w:pPr>
              <w:widowControl/>
              <w:rPr>
                <w:rFonts w:cs="Calibri"/>
                <w:sz w:val="20"/>
                <w:szCs w:val="20"/>
              </w:rPr>
            </w:pPr>
          </w:p>
          <w:p w:rsidR="000F6AE8" w:rsidRPr="004228FD" w:rsidRDefault="004D6C8B" w:rsidP="004D6C8B">
            <w:pPr>
              <w:widowControl/>
              <w:rPr>
                <w:rFonts w:cs="Calibri"/>
                <w:sz w:val="16"/>
                <w:szCs w:val="16"/>
              </w:rPr>
            </w:pPr>
            <w:r>
              <w:rPr>
                <w:sz w:val="20"/>
              </w:rPr>
              <w:t>Directives en matière de politique s’appliquant aux organismes de service en ce qui a trait au Programme de placement en famille hôte 2.0</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rPr>
                <w:sz w:val="20"/>
              </w:rPr>
            </w:pPr>
          </w:p>
          <w:p w:rsidR="00514B17" w:rsidRDefault="00E142E7" w:rsidP="00AB2700">
            <w:pPr>
              <w:rPr>
                <w:sz w:val="20"/>
                <w:szCs w:val="20"/>
              </w:rPr>
            </w:pPr>
            <w:r>
              <w:rPr>
                <w:sz w:val="20"/>
              </w:rPr>
              <w:t>Afin d’encourager une compréhension commune du placement en famille hôte, les organismes sont tenus de signer avec la famille hôte une convention qui décrit les attentes de l’organisme à l’égard de la famille hôte et les activités de soutien et de supervision réalisées par l’organisme.</w:t>
            </w:r>
          </w:p>
          <w:p w:rsidR="00514B17" w:rsidRDefault="00514B17" w:rsidP="00AB2700">
            <w:pPr>
              <w:rPr>
                <w:sz w:val="20"/>
                <w:szCs w:val="20"/>
              </w:rPr>
            </w:pPr>
          </w:p>
          <w:p w:rsidR="000F6AE8" w:rsidRPr="00AB2700" w:rsidRDefault="004A4B0B" w:rsidP="00AB2700">
            <w:pPr>
              <w:rPr>
                <w:rFonts w:asciiTheme="minorHAnsi" w:hAnsiTheme="minorHAnsi" w:cstheme="minorHAnsi"/>
                <w:sz w:val="20"/>
                <w:szCs w:val="20"/>
              </w:rPr>
            </w:pPr>
            <w:r>
              <w:rPr>
                <w:sz w:val="20"/>
              </w:rPr>
              <w:t xml:space="preserve">La convention de service signée avec la famille </w:t>
            </w:r>
            <w:r w:rsidR="00BD7EE1">
              <w:rPr>
                <w:sz w:val="20"/>
              </w:rPr>
              <w:t>hôte</w:t>
            </w:r>
            <w:r>
              <w:rPr>
                <w:sz w:val="20"/>
              </w:rPr>
              <w:t xml:space="preserve"> doit </w:t>
            </w:r>
            <w:r w:rsidR="00C063A3">
              <w:rPr>
                <w:sz w:val="20"/>
              </w:rPr>
              <w:t>énoncer l</w:t>
            </w:r>
            <w:r>
              <w:rPr>
                <w:sz w:val="20"/>
              </w:rPr>
              <w:t>es exigences minimums en matière de prestation de services à la personne ayant une déficience intellectuelle.</w:t>
            </w: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4D6C8B" w:rsidRDefault="004D6C8B" w:rsidP="000F6AE8">
            <w:pPr>
              <w:rPr>
                <w:rFonts w:cs="Calibri"/>
                <w:sz w:val="20"/>
                <w:szCs w:val="20"/>
              </w:rPr>
            </w:pPr>
          </w:p>
          <w:p w:rsidR="000F6AE8" w:rsidRPr="004228FD" w:rsidRDefault="00266731" w:rsidP="004D6C8B">
            <w:pPr>
              <w:jc w:val="center"/>
              <w:rPr>
                <w:rFonts w:cs="Calibri"/>
                <w:sz w:val="20"/>
                <w:szCs w:val="20"/>
              </w:rPr>
            </w:pPr>
            <w:r>
              <w:rPr>
                <w:sz w:val="20"/>
              </w:rPr>
              <w:t>MODÉRÉ</w:t>
            </w:r>
          </w:p>
          <w:p w:rsidR="000F6AE8" w:rsidRPr="004228FD" w:rsidRDefault="000F6AE8" w:rsidP="000F6AE8">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4D6C8B" w:rsidRDefault="004D6C8B" w:rsidP="000F6AE8">
            <w:pPr>
              <w:autoSpaceDE w:val="0"/>
              <w:autoSpaceDN w:val="0"/>
              <w:adjustRightInd w:val="0"/>
              <w:rPr>
                <w:rFonts w:cs="Calibri"/>
                <w:sz w:val="20"/>
                <w:szCs w:val="20"/>
              </w:rPr>
            </w:pPr>
          </w:p>
          <w:p w:rsidR="000F6AE8" w:rsidRPr="004228FD" w:rsidRDefault="004D6C8B" w:rsidP="000F6AE8">
            <w:pPr>
              <w:autoSpaceDE w:val="0"/>
              <w:autoSpaceDN w:val="0"/>
              <w:adjustRightInd w:val="0"/>
              <w:rPr>
                <w:rFonts w:asciiTheme="minorHAnsi" w:hAnsiTheme="minorHAnsi" w:cstheme="minorHAnsi"/>
                <w:sz w:val="20"/>
                <w:szCs w:val="20"/>
              </w:rPr>
            </w:pPr>
            <w:r>
              <w:rPr>
                <w:sz w:val="20"/>
              </w:rPr>
              <w:t>Convention de service datée et signée</w:t>
            </w:r>
            <w:r w:rsidR="00C063A3">
              <w:rPr>
                <w:sz w:val="20"/>
              </w:rPr>
              <w:t>.</w:t>
            </w:r>
          </w:p>
          <w:p w:rsidR="000F6AE8" w:rsidRPr="004228FD" w:rsidRDefault="000F6AE8" w:rsidP="000F6AE8">
            <w:pPr>
              <w:autoSpaceDE w:val="0"/>
              <w:autoSpaceDN w:val="0"/>
              <w:adjustRightInd w:val="0"/>
              <w:rPr>
                <w:rFonts w:asciiTheme="minorHAnsi" w:hAnsiTheme="minorHAnsi" w:cstheme="minorHAnsi"/>
                <w:sz w:val="20"/>
                <w:szCs w:val="20"/>
              </w:rPr>
            </w:pP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685909" w:rsidRDefault="00685909" w:rsidP="000F6AE8">
            <w:pPr>
              <w:rPr>
                <w:rFonts w:cs="Calibri"/>
                <w:sz w:val="20"/>
                <w:szCs w:val="20"/>
              </w:rPr>
            </w:pPr>
          </w:p>
          <w:p w:rsidR="000F6AE8" w:rsidRPr="004228FD" w:rsidRDefault="00266731" w:rsidP="004A4B0B">
            <w:pPr>
              <w:rPr>
                <w:rFonts w:cs="Calibri"/>
                <w:sz w:val="20"/>
                <w:szCs w:val="20"/>
              </w:rPr>
            </w:pPr>
            <w:r>
              <w:rPr>
                <w:sz w:val="20"/>
              </w:rPr>
              <w:t>Aucune preuve ne permet de confirmer que l’organisme de service a, pour les placements existants et les nouveaux placements, signé avec la famille hôte une convention prévoyant certaines exigences minimums concernant la prestation de services à la personne ayant une déficience intellectuelle.</w:t>
            </w:r>
          </w:p>
        </w:tc>
        <w:tc>
          <w:tcPr>
            <w:tcW w:w="636" w:type="pct"/>
            <w:tcBorders>
              <w:top w:val="single" w:sz="4" w:space="0" w:color="000000"/>
              <w:left w:val="single" w:sz="4" w:space="0" w:color="000000"/>
              <w:bottom w:val="single" w:sz="4" w:space="0" w:color="000000"/>
              <w:right w:val="single" w:sz="4" w:space="0" w:color="000000"/>
            </w:tcBorders>
          </w:tcPr>
          <w:p w:rsidR="004D6C8B" w:rsidRDefault="004D6C8B" w:rsidP="000F6AE8">
            <w:pPr>
              <w:rPr>
                <w:rFonts w:cs="Calibri"/>
                <w:sz w:val="20"/>
                <w:szCs w:val="20"/>
              </w:rPr>
            </w:pPr>
          </w:p>
          <w:p w:rsidR="000F6AE8" w:rsidRPr="004228FD" w:rsidRDefault="000F6AE8" w:rsidP="000F6AE8">
            <w:pPr>
              <w:rPr>
                <w:rFonts w:cs="Calibri"/>
                <w:sz w:val="20"/>
                <w:szCs w:val="20"/>
              </w:rPr>
            </w:pPr>
            <w:r>
              <w:rPr>
                <w:sz w:val="20"/>
              </w:rPr>
              <w:t>Une lettre ou un document confirmant que la mesure corrective a été menée à bien.</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Pr>
                <w:rFonts w:asciiTheme="minorHAnsi" w:eastAsiaTheme="majorEastAsia" w:hAnsiTheme="minorHAnsi" w:cstheme="minorHAnsi"/>
                <w:b/>
                <w:kern w:val="32"/>
                <w:sz w:val="24"/>
              </w:rPr>
              <w:t>Dossiers et documents</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A4611C" w:rsidP="000F6AE8">
            <w:pPr>
              <w:jc w:val="center"/>
              <w:rPr>
                <w:rFonts w:cs="Calibri"/>
              </w:rPr>
            </w:pPr>
            <w:r>
              <w:rPr>
                <w:b/>
              </w:rPr>
              <w:t>Risque</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Pr>
                <w:b/>
              </w:rPr>
              <w:t>Indicateur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Pr>
                <w:b/>
              </w:rPr>
              <w:t>Non-conformité constatée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Pr>
                <w:b/>
              </w:rPr>
              <w:t>Exigence de conformité</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532BA3" w:rsidRDefault="00532BA3" w:rsidP="00532BA3">
            <w:pPr>
              <w:spacing w:before="48"/>
              <w:rPr>
                <w:rFonts w:cs="Calibri"/>
                <w:sz w:val="20"/>
                <w:szCs w:val="20"/>
              </w:rPr>
            </w:pPr>
          </w:p>
          <w:p w:rsidR="000F6AE8" w:rsidRPr="00532BA3" w:rsidRDefault="00532BA3" w:rsidP="00532BA3">
            <w:pPr>
              <w:spacing w:before="48"/>
              <w:rPr>
                <w:rFonts w:cs="Calibri"/>
                <w:sz w:val="20"/>
                <w:szCs w:val="20"/>
              </w:rPr>
            </w:pPr>
            <w:r>
              <w:rPr>
                <w:sz w:val="20"/>
              </w:rPr>
              <w:t>64. Convention de service, formation</w:t>
            </w:r>
          </w:p>
          <w:p w:rsidR="00532BA3" w:rsidRPr="00532BA3" w:rsidRDefault="00532BA3" w:rsidP="00532BA3">
            <w:pPr>
              <w:pStyle w:val="ListParagraph"/>
              <w:spacing w:before="48"/>
              <w:ind w:left="395"/>
              <w:rPr>
                <w:rFonts w:cs="Calibri"/>
                <w:sz w:val="20"/>
                <w:szCs w:val="20"/>
              </w:rPr>
            </w:pPr>
          </w:p>
          <w:p w:rsidR="00532BA3" w:rsidRPr="0002609B" w:rsidRDefault="0002609B" w:rsidP="00532BA3">
            <w:pPr>
              <w:widowControl/>
              <w:rPr>
                <w:rFonts w:cs="Calibri"/>
                <w:sz w:val="20"/>
                <w:szCs w:val="20"/>
              </w:rPr>
            </w:pPr>
            <w:r>
              <w:rPr>
                <w:sz w:val="20"/>
              </w:rPr>
              <w:t xml:space="preserve">Les organismes de service doivent, pour chaque placement, signer avec la famille hôte une convention qui prévoit la participation de la famille hôte aux activités de formation et d’orientation, dont les visites préalables au placement et les séances de formation relatives à la réanimation cardio-respiratoire (RCR), au secourisme, à la prévention des mauvais traitements et aux politiques de signalement. </w:t>
            </w:r>
          </w:p>
          <w:p w:rsidR="0002609B" w:rsidRDefault="0002609B" w:rsidP="00532BA3">
            <w:pPr>
              <w:widowControl/>
              <w:rPr>
                <w:rFonts w:cs="Calibri"/>
                <w:sz w:val="20"/>
                <w:szCs w:val="20"/>
              </w:rPr>
            </w:pPr>
          </w:p>
          <w:p w:rsidR="000F6AE8" w:rsidRPr="004228FD" w:rsidRDefault="00532BA3" w:rsidP="00532BA3">
            <w:pPr>
              <w:widowControl/>
              <w:rPr>
                <w:rFonts w:cs="Calibri"/>
                <w:sz w:val="16"/>
                <w:szCs w:val="16"/>
              </w:rPr>
            </w:pPr>
            <w:r>
              <w:rPr>
                <w:sz w:val="20"/>
              </w:rPr>
              <w:t>Directives en matière de politique s’appliquant aux organismes de service en ce qui a trait au Programme de placement en famille hôte 2.0</w:t>
            </w:r>
          </w:p>
          <w:p w:rsidR="000F6AE8" w:rsidRPr="004228FD" w:rsidRDefault="000F6AE8" w:rsidP="00532BA3">
            <w:pPr>
              <w:rPr>
                <w:rFonts w:cs="Calibri"/>
                <w:sz w:val="20"/>
                <w:szCs w:val="20"/>
              </w:rPr>
            </w:pPr>
          </w:p>
          <w:p w:rsidR="000F6AE8" w:rsidRPr="004228FD" w:rsidRDefault="000F6AE8" w:rsidP="00532BA3">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autoSpaceDE w:val="0"/>
              <w:autoSpaceDN w:val="0"/>
              <w:adjustRightInd w:val="0"/>
              <w:rPr>
                <w:rFonts w:cs="Calibri"/>
                <w:sz w:val="20"/>
                <w:szCs w:val="20"/>
              </w:rPr>
            </w:pPr>
          </w:p>
          <w:p w:rsidR="00E142E7" w:rsidRPr="00637B60" w:rsidRDefault="00E142E7" w:rsidP="009B6665">
            <w:pPr>
              <w:rPr>
                <w:sz w:val="20"/>
                <w:szCs w:val="20"/>
              </w:rPr>
            </w:pPr>
            <w:r>
              <w:rPr>
                <w:sz w:val="20"/>
              </w:rPr>
              <w:t>Afin d’encourager une compréhension commune du placement en famille hôte, les organismes sont tenus de signer avec la famille hôte une convention qui décrit les attentes de l’organisme à l’égard de la famille hôte et les activités de soutien et de supervision réalisées par l’organisme.</w:t>
            </w:r>
          </w:p>
          <w:p w:rsidR="00E142E7" w:rsidRDefault="00E142E7" w:rsidP="009B6665">
            <w:pPr>
              <w:rPr>
                <w:rFonts w:asciiTheme="minorHAnsi" w:hAnsiTheme="minorHAnsi" w:cstheme="minorHAnsi"/>
                <w:sz w:val="20"/>
                <w:szCs w:val="20"/>
              </w:rPr>
            </w:pPr>
          </w:p>
          <w:p w:rsidR="009B6665" w:rsidRDefault="00E142E7" w:rsidP="009B6665">
            <w:pPr>
              <w:rPr>
                <w:rFonts w:asciiTheme="minorHAnsi" w:hAnsiTheme="minorHAnsi" w:cstheme="minorHAnsi"/>
                <w:sz w:val="20"/>
                <w:szCs w:val="20"/>
              </w:rPr>
            </w:pPr>
            <w:r>
              <w:rPr>
                <w:rFonts w:asciiTheme="minorHAnsi" w:hAnsiTheme="minorHAnsi" w:cstheme="minorHAnsi"/>
                <w:sz w:val="20"/>
              </w:rPr>
              <w:t>La convention de service garantit les points suivants :</w:t>
            </w:r>
          </w:p>
          <w:p w:rsidR="009B6665" w:rsidRPr="006A0E8C" w:rsidRDefault="009B6665" w:rsidP="006A0E8C">
            <w:pPr>
              <w:pStyle w:val="ListParagraph"/>
              <w:numPr>
                <w:ilvl w:val="0"/>
                <w:numId w:val="18"/>
              </w:numPr>
              <w:rPr>
                <w:rFonts w:asciiTheme="minorHAnsi" w:hAnsiTheme="minorHAnsi" w:cstheme="minorHAnsi"/>
                <w:sz w:val="20"/>
                <w:szCs w:val="20"/>
              </w:rPr>
            </w:pPr>
            <w:r>
              <w:rPr>
                <w:rFonts w:asciiTheme="minorHAnsi" w:hAnsiTheme="minorHAnsi" w:cstheme="minorHAnsi"/>
                <w:sz w:val="20"/>
              </w:rPr>
              <w:t>La formation vise le fournisseur principal ou les fournisseurs principaux de soins.</w:t>
            </w:r>
          </w:p>
          <w:p w:rsidR="009B6665" w:rsidRPr="006A0E8C" w:rsidRDefault="009B6665" w:rsidP="006A0E8C">
            <w:pPr>
              <w:pStyle w:val="ListParagraph"/>
              <w:numPr>
                <w:ilvl w:val="0"/>
                <w:numId w:val="18"/>
              </w:numPr>
              <w:rPr>
                <w:rFonts w:asciiTheme="minorHAnsi" w:hAnsiTheme="minorHAnsi" w:cstheme="minorHAnsi"/>
                <w:sz w:val="20"/>
                <w:szCs w:val="20"/>
              </w:rPr>
            </w:pPr>
            <w:r>
              <w:rPr>
                <w:rFonts w:asciiTheme="minorHAnsi" w:hAnsiTheme="minorHAnsi" w:cstheme="minorHAnsi"/>
                <w:sz w:val="20"/>
              </w:rPr>
              <w:t>Elle peut aussi être dispensée à d’autres membres de la famille en fonction des politiques et consignes de l’organisme</w:t>
            </w:r>
            <w:r w:rsidR="00B74868">
              <w:rPr>
                <w:rFonts w:asciiTheme="minorHAnsi" w:hAnsiTheme="minorHAnsi" w:cstheme="minorHAnsi"/>
                <w:sz w:val="20"/>
              </w:rPr>
              <w:t xml:space="preserve">. </w:t>
            </w:r>
          </w:p>
          <w:p w:rsidR="009B6665" w:rsidRDefault="009B6665" w:rsidP="009B6665">
            <w:pPr>
              <w:rPr>
                <w:rFonts w:asciiTheme="minorHAnsi" w:hAnsiTheme="minorHAnsi" w:cstheme="minorHAnsi"/>
                <w:sz w:val="20"/>
                <w:szCs w:val="20"/>
              </w:rPr>
            </w:pPr>
            <w:r>
              <w:rPr>
                <w:rFonts w:asciiTheme="minorHAnsi" w:hAnsiTheme="minorHAnsi" w:cstheme="minorHAnsi"/>
                <w:sz w:val="20"/>
              </w:rPr>
              <w:t>À compter du 1</w:t>
            </w:r>
            <w:r>
              <w:rPr>
                <w:rFonts w:asciiTheme="minorHAnsi" w:hAnsiTheme="minorHAnsi" w:cstheme="minorHAnsi"/>
                <w:sz w:val="20"/>
                <w:vertAlign w:val="superscript"/>
              </w:rPr>
              <w:t>er</w:t>
            </w:r>
            <w:r>
              <w:rPr>
                <w:rFonts w:asciiTheme="minorHAnsi" w:hAnsiTheme="minorHAnsi" w:cstheme="minorHAnsi"/>
                <w:sz w:val="20"/>
              </w:rPr>
              <w:t xml:space="preserve"> avril 2016, pour tous les </w:t>
            </w:r>
            <w:r>
              <w:rPr>
                <w:rFonts w:asciiTheme="minorHAnsi" w:hAnsiTheme="minorHAnsi" w:cstheme="minorHAnsi"/>
                <w:sz w:val="20"/>
                <w:u w:val="single"/>
              </w:rPr>
              <w:t>nouveaux placements</w:t>
            </w:r>
            <w:r>
              <w:rPr>
                <w:rFonts w:asciiTheme="minorHAnsi" w:hAnsiTheme="minorHAnsi" w:cstheme="minorHAnsi"/>
                <w:sz w:val="20"/>
              </w:rPr>
              <w:t>, au moins un des fournisseurs principaux de soins doit être titulaire d’un certificat de RCR et de secourisme.</w:t>
            </w:r>
          </w:p>
          <w:p w:rsidR="000F6AE8" w:rsidRPr="004228FD" w:rsidRDefault="009B6665" w:rsidP="009B6665">
            <w:pPr>
              <w:autoSpaceDE w:val="0"/>
              <w:autoSpaceDN w:val="0"/>
              <w:adjustRightInd w:val="0"/>
              <w:rPr>
                <w:rFonts w:cs="Calibri"/>
                <w:sz w:val="20"/>
                <w:szCs w:val="20"/>
              </w:rPr>
            </w:pPr>
            <w:r>
              <w:rPr>
                <w:rFonts w:asciiTheme="minorHAnsi" w:hAnsiTheme="minorHAnsi" w:cstheme="minorHAnsi"/>
                <w:sz w:val="20"/>
              </w:rPr>
              <w:t>L’organisme doit veiller au renouvellement des certificats après avoir pris en compte les besoins en matière de santé et de sécurité.</w:t>
            </w:r>
          </w:p>
          <w:p w:rsidR="000F6AE8" w:rsidRDefault="000F6AE8" w:rsidP="000F6AE8">
            <w:pPr>
              <w:autoSpaceDE w:val="0"/>
              <w:autoSpaceDN w:val="0"/>
              <w:adjustRightInd w:val="0"/>
              <w:rPr>
                <w:rFonts w:cs="Calibri"/>
                <w:sz w:val="20"/>
                <w:szCs w:val="20"/>
              </w:rPr>
            </w:pPr>
          </w:p>
          <w:p w:rsidR="006A0E8C" w:rsidRPr="004228FD" w:rsidRDefault="006A0E8C"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p w:rsidR="000F6AE8" w:rsidRPr="004228FD" w:rsidRDefault="000F6AE8" w:rsidP="000F6AE8">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532BA3" w:rsidRDefault="00532BA3" w:rsidP="000F6AE8">
            <w:pPr>
              <w:rPr>
                <w:rFonts w:cs="Calibri"/>
                <w:sz w:val="20"/>
                <w:szCs w:val="20"/>
              </w:rPr>
            </w:pPr>
          </w:p>
          <w:p w:rsidR="000F6AE8" w:rsidRPr="004228FD" w:rsidRDefault="00211F96" w:rsidP="00532BA3">
            <w:pPr>
              <w:jc w:val="center"/>
              <w:rPr>
                <w:rFonts w:cs="Calibri"/>
                <w:sz w:val="20"/>
                <w:szCs w:val="20"/>
              </w:rPr>
            </w:pPr>
            <w:r>
              <w:rPr>
                <w:sz w:val="20"/>
              </w:rPr>
              <w:t>MODÉRÉ</w:t>
            </w:r>
          </w:p>
          <w:p w:rsidR="000F6AE8" w:rsidRPr="004228FD" w:rsidRDefault="000F6AE8" w:rsidP="000F6AE8">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532BA3" w:rsidRDefault="00532BA3" w:rsidP="000F6AE8">
            <w:pPr>
              <w:autoSpaceDE w:val="0"/>
              <w:autoSpaceDN w:val="0"/>
              <w:adjustRightInd w:val="0"/>
              <w:rPr>
                <w:rFonts w:cs="Calibri"/>
                <w:sz w:val="20"/>
                <w:szCs w:val="20"/>
              </w:rPr>
            </w:pPr>
          </w:p>
          <w:p w:rsidR="000F6AE8" w:rsidRPr="004228FD" w:rsidRDefault="00532BA3" w:rsidP="000F6AE8">
            <w:pPr>
              <w:autoSpaceDE w:val="0"/>
              <w:autoSpaceDN w:val="0"/>
              <w:adjustRightInd w:val="0"/>
              <w:rPr>
                <w:rFonts w:asciiTheme="minorHAnsi" w:hAnsiTheme="minorHAnsi" w:cstheme="minorHAnsi"/>
                <w:sz w:val="20"/>
                <w:szCs w:val="20"/>
              </w:rPr>
            </w:pPr>
            <w:r>
              <w:rPr>
                <w:sz w:val="20"/>
              </w:rPr>
              <w:t>Convention de service datée et signée qui prévoit la participation de la famille hôte aux activités de formation et d’orientation, dont les visites préalables au placement et les séances de formation relatives à la réanimation cardio-respiratoire (RCR), au secourisme, à la prévention des mauvais traitements et aux politiques de signalement</w:t>
            </w:r>
            <w:r w:rsidR="00B74868">
              <w:rPr>
                <w:sz w:val="20"/>
              </w:rPr>
              <w:t xml:space="preserve">. </w:t>
            </w:r>
          </w:p>
          <w:p w:rsidR="000F6AE8" w:rsidRPr="004228FD" w:rsidRDefault="000F6AE8" w:rsidP="000F6AE8">
            <w:pPr>
              <w:autoSpaceDE w:val="0"/>
              <w:autoSpaceDN w:val="0"/>
              <w:adjustRightInd w:val="0"/>
              <w:rPr>
                <w:rFonts w:asciiTheme="minorHAnsi" w:hAnsiTheme="minorHAnsi" w:cstheme="minorHAnsi"/>
                <w:sz w:val="20"/>
                <w:szCs w:val="20"/>
              </w:rPr>
            </w:pP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532BA3" w:rsidRDefault="00532BA3" w:rsidP="000F6AE8">
            <w:pPr>
              <w:rPr>
                <w:rFonts w:cs="Calibri"/>
                <w:sz w:val="20"/>
                <w:szCs w:val="20"/>
              </w:rPr>
            </w:pPr>
          </w:p>
          <w:p w:rsidR="000F6AE8" w:rsidRPr="004228FD" w:rsidRDefault="0002609B" w:rsidP="000F6AE8">
            <w:pPr>
              <w:rPr>
                <w:rFonts w:cs="Calibri"/>
                <w:sz w:val="20"/>
                <w:szCs w:val="20"/>
              </w:rPr>
            </w:pPr>
            <w:r>
              <w:rPr>
                <w:sz w:val="20"/>
              </w:rPr>
              <w:t>La convention de service signée entre l’organisme de service et la famille hôte ne prévoit pas la participation de la famille hôte aux activités de formation et d’orientation, dont les visites préalables au placement et les séances de formation relatives à la réanimation cardio-respiratoire (RCR), au secourisme, à la prévention des mauvais traitements et aux politiques de signalement.</w:t>
            </w:r>
          </w:p>
        </w:tc>
        <w:tc>
          <w:tcPr>
            <w:tcW w:w="636" w:type="pct"/>
            <w:tcBorders>
              <w:top w:val="single" w:sz="4" w:space="0" w:color="000000"/>
              <w:left w:val="single" w:sz="4" w:space="0" w:color="000000"/>
              <w:bottom w:val="single" w:sz="4" w:space="0" w:color="000000"/>
              <w:right w:val="single" w:sz="4" w:space="0" w:color="000000"/>
            </w:tcBorders>
          </w:tcPr>
          <w:p w:rsidR="00532BA3" w:rsidRDefault="00532BA3" w:rsidP="000F6AE8">
            <w:pPr>
              <w:rPr>
                <w:rFonts w:cs="Calibri"/>
                <w:sz w:val="20"/>
                <w:szCs w:val="20"/>
              </w:rPr>
            </w:pPr>
          </w:p>
          <w:p w:rsidR="000F6AE8" w:rsidRPr="004228FD" w:rsidRDefault="000F6AE8" w:rsidP="000F6AE8">
            <w:pPr>
              <w:rPr>
                <w:rFonts w:cs="Calibri"/>
                <w:sz w:val="20"/>
                <w:szCs w:val="20"/>
              </w:rPr>
            </w:pPr>
            <w:r>
              <w:rPr>
                <w:sz w:val="20"/>
              </w:rPr>
              <w:t>Une lettre ou un document confirmant que la mesure corrective a été menée à bien.</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Pr>
                <w:rFonts w:asciiTheme="minorHAnsi" w:eastAsiaTheme="majorEastAsia" w:hAnsiTheme="minorHAnsi" w:cstheme="minorHAnsi"/>
                <w:b/>
                <w:kern w:val="32"/>
                <w:sz w:val="24"/>
              </w:rPr>
              <w:t>Dossiers et documents</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A4611C" w:rsidP="000F6AE8">
            <w:pPr>
              <w:jc w:val="center"/>
              <w:rPr>
                <w:rFonts w:cs="Calibri"/>
              </w:rPr>
            </w:pPr>
            <w:r>
              <w:rPr>
                <w:b/>
              </w:rPr>
              <w:t>Risque</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Pr>
                <w:b/>
              </w:rPr>
              <w:t>Indicateur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Pr>
                <w:b/>
              </w:rPr>
              <w:t>Non-conformité constatée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Pr>
                <w:b/>
              </w:rPr>
              <w:t>Exigence de conformité</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4D0BF4" w:rsidRDefault="004D0BF4" w:rsidP="008C2510">
            <w:pPr>
              <w:spacing w:before="48"/>
              <w:rPr>
                <w:rFonts w:cs="Calibri"/>
                <w:sz w:val="20"/>
                <w:szCs w:val="20"/>
              </w:rPr>
            </w:pPr>
          </w:p>
          <w:p w:rsidR="000F6AE8" w:rsidRPr="004228FD" w:rsidRDefault="008C2510" w:rsidP="008C2510">
            <w:pPr>
              <w:spacing w:before="48"/>
              <w:rPr>
                <w:rFonts w:cs="Calibri"/>
                <w:sz w:val="20"/>
                <w:szCs w:val="20"/>
              </w:rPr>
            </w:pPr>
            <w:r>
              <w:rPr>
                <w:sz w:val="20"/>
              </w:rPr>
              <w:t>65. Convention de service, surveillance</w:t>
            </w:r>
          </w:p>
          <w:p w:rsidR="000F6AE8" w:rsidRPr="004228FD" w:rsidRDefault="000F6AE8" w:rsidP="008C2510">
            <w:pPr>
              <w:spacing w:before="7" w:line="190" w:lineRule="exact"/>
              <w:rPr>
                <w:rFonts w:cs="Calibri"/>
                <w:sz w:val="20"/>
                <w:szCs w:val="20"/>
              </w:rPr>
            </w:pPr>
          </w:p>
          <w:p w:rsidR="00D624D6" w:rsidRDefault="0002609B" w:rsidP="008C2510">
            <w:pPr>
              <w:widowControl/>
              <w:rPr>
                <w:rFonts w:cs="Calibri"/>
                <w:sz w:val="20"/>
                <w:szCs w:val="20"/>
              </w:rPr>
            </w:pPr>
            <w:r>
              <w:rPr>
                <w:sz w:val="20"/>
              </w:rPr>
              <w:t>Les organismes de service doivent, pour chaque placement, signer avec la famille hôte une convention qui autorise l’organisme à mener</w:t>
            </w:r>
            <w:r w:rsidR="00FD6F28">
              <w:rPr>
                <w:sz w:val="20"/>
              </w:rPr>
              <w:t>,</w:t>
            </w:r>
            <w:r>
              <w:rPr>
                <w:sz w:val="20"/>
              </w:rPr>
              <w:t xml:space="preserve"> </w:t>
            </w:r>
            <w:r w:rsidR="00FD6F28">
              <w:rPr>
                <w:sz w:val="20"/>
              </w:rPr>
              <w:t xml:space="preserve">au sein de la résidence et du terrain du placement, </w:t>
            </w:r>
            <w:r>
              <w:rPr>
                <w:sz w:val="20"/>
              </w:rPr>
              <w:t xml:space="preserve">des activités de surveillance continues et des examens répétés de la sécurité physique de la personne placée, notamment des visites à la résidence tous les 60 jours avec évaluation des exigences en matière de santé et de sécurité et au moins une visite annuelle </w:t>
            </w:r>
            <w:r w:rsidR="00A854F0">
              <w:rPr>
                <w:sz w:val="20"/>
              </w:rPr>
              <w:t>non annoncée</w:t>
            </w:r>
            <w:r>
              <w:rPr>
                <w:sz w:val="20"/>
              </w:rPr>
              <w:t>.</w:t>
            </w:r>
          </w:p>
          <w:p w:rsidR="0002609B" w:rsidRDefault="0002609B" w:rsidP="008C2510">
            <w:pPr>
              <w:widowControl/>
              <w:rPr>
                <w:rFonts w:cs="Calibri"/>
                <w:sz w:val="20"/>
                <w:szCs w:val="20"/>
              </w:rPr>
            </w:pPr>
          </w:p>
          <w:p w:rsidR="000F6AE8" w:rsidRPr="004228FD" w:rsidRDefault="00532BA3" w:rsidP="008C2510">
            <w:pPr>
              <w:widowControl/>
              <w:rPr>
                <w:rFonts w:cs="Calibri"/>
                <w:sz w:val="16"/>
                <w:szCs w:val="16"/>
              </w:rPr>
            </w:pPr>
            <w:r>
              <w:rPr>
                <w:sz w:val="20"/>
              </w:rPr>
              <w:t>Directives en matière de politique s’appliquant aux organismes de service en ce qui a trait au Programme de placement en famille hôte 2.0</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rPr>
                <w:rFonts w:cs="Calibri"/>
                <w:sz w:val="20"/>
                <w:szCs w:val="20"/>
              </w:rPr>
            </w:pPr>
          </w:p>
          <w:p w:rsidR="00E142E7" w:rsidRDefault="00E142E7" w:rsidP="00E142E7">
            <w:pPr>
              <w:rPr>
                <w:sz w:val="20"/>
                <w:szCs w:val="20"/>
              </w:rPr>
            </w:pPr>
            <w:r>
              <w:rPr>
                <w:sz w:val="20"/>
              </w:rPr>
              <w:t>Afin d’encourager une compréhension commune du placement en famille hôte, les organismes sont tenus de signer avec la famille hôte une convention qui décrit les attentes de l’organisme à l’égard de la famille hôte et les activités de soutien et de supervision réalisées par l’organisme.</w:t>
            </w:r>
          </w:p>
          <w:p w:rsidR="00E142E7" w:rsidRDefault="00E142E7" w:rsidP="000F6AE8">
            <w:pPr>
              <w:autoSpaceDE w:val="0"/>
              <w:autoSpaceDN w:val="0"/>
              <w:adjustRightInd w:val="0"/>
              <w:rPr>
                <w:rFonts w:cs="Calibri"/>
                <w:sz w:val="20"/>
                <w:szCs w:val="20"/>
              </w:rPr>
            </w:pPr>
          </w:p>
          <w:p w:rsidR="000F6AE8" w:rsidRDefault="00E142E7" w:rsidP="000F6AE8">
            <w:pPr>
              <w:autoSpaceDE w:val="0"/>
              <w:autoSpaceDN w:val="0"/>
              <w:adjustRightInd w:val="0"/>
              <w:rPr>
                <w:rFonts w:cs="Calibri"/>
                <w:sz w:val="20"/>
                <w:szCs w:val="20"/>
              </w:rPr>
            </w:pPr>
            <w:r>
              <w:rPr>
                <w:sz w:val="20"/>
              </w:rPr>
              <w:t>La convention de service doit indiquer que la famille hôte autorise l’organisme à mener</w:t>
            </w:r>
            <w:r w:rsidR="00FD6F28">
              <w:rPr>
                <w:sz w:val="20"/>
              </w:rPr>
              <w:t>,</w:t>
            </w:r>
            <w:r>
              <w:rPr>
                <w:sz w:val="20"/>
              </w:rPr>
              <w:t xml:space="preserve"> </w:t>
            </w:r>
            <w:r w:rsidR="00FD6F28">
              <w:rPr>
                <w:sz w:val="20"/>
              </w:rPr>
              <w:t xml:space="preserve">au sein de la résidence et du terrain du placement, </w:t>
            </w:r>
            <w:r>
              <w:rPr>
                <w:sz w:val="20"/>
              </w:rPr>
              <w:t xml:space="preserve">des activités de surveillance continues et des examens répétés de la sécurité physique de la personne placée, notamment des visites à la résidence tous les 60 jours avec évaluation des exigences en matière de santé et de sécurité et au moins une visite annuelle </w:t>
            </w:r>
            <w:r w:rsidR="00A854F0">
              <w:rPr>
                <w:sz w:val="20"/>
              </w:rPr>
              <w:t>non annoncée</w:t>
            </w:r>
            <w:r>
              <w:rPr>
                <w:sz w:val="20"/>
              </w:rPr>
              <w:t>.</w:t>
            </w:r>
          </w:p>
          <w:p w:rsidR="006A0E8C" w:rsidRDefault="006A0E8C" w:rsidP="000F6AE8">
            <w:pPr>
              <w:autoSpaceDE w:val="0"/>
              <w:autoSpaceDN w:val="0"/>
              <w:adjustRightInd w:val="0"/>
              <w:rPr>
                <w:rFonts w:cs="Calibri"/>
                <w:sz w:val="20"/>
                <w:szCs w:val="20"/>
              </w:rPr>
            </w:pPr>
          </w:p>
          <w:p w:rsidR="006A0E8C" w:rsidRPr="004228FD" w:rsidRDefault="006A0E8C" w:rsidP="004B6A52">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8C2510" w:rsidRDefault="008C2510" w:rsidP="000F6AE8">
            <w:pPr>
              <w:rPr>
                <w:rFonts w:cs="Calibri"/>
                <w:sz w:val="20"/>
                <w:szCs w:val="20"/>
              </w:rPr>
            </w:pPr>
          </w:p>
          <w:p w:rsidR="000F6AE8" w:rsidRPr="004228FD" w:rsidRDefault="00211F96" w:rsidP="008C2510">
            <w:pPr>
              <w:jc w:val="center"/>
              <w:rPr>
                <w:rFonts w:cs="Calibri"/>
                <w:sz w:val="20"/>
                <w:szCs w:val="20"/>
              </w:rPr>
            </w:pPr>
            <w:r>
              <w:rPr>
                <w:sz w:val="20"/>
              </w:rPr>
              <w:t>MODÉRÉ</w:t>
            </w:r>
          </w:p>
          <w:p w:rsidR="000F6AE8" w:rsidRPr="004228FD" w:rsidRDefault="000F6AE8" w:rsidP="000F6AE8">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8C2510" w:rsidRDefault="008C2510" w:rsidP="000F6AE8">
            <w:pPr>
              <w:autoSpaceDE w:val="0"/>
              <w:autoSpaceDN w:val="0"/>
              <w:adjustRightInd w:val="0"/>
              <w:rPr>
                <w:rFonts w:cs="Calibri"/>
                <w:sz w:val="20"/>
                <w:szCs w:val="20"/>
              </w:rPr>
            </w:pPr>
          </w:p>
          <w:p w:rsidR="000F6AE8" w:rsidRPr="004228FD" w:rsidRDefault="004D0BF4" w:rsidP="000F6AE8">
            <w:pPr>
              <w:autoSpaceDE w:val="0"/>
              <w:autoSpaceDN w:val="0"/>
              <w:adjustRightInd w:val="0"/>
              <w:rPr>
                <w:rFonts w:asciiTheme="minorHAnsi" w:hAnsiTheme="minorHAnsi" w:cstheme="minorHAnsi"/>
                <w:sz w:val="20"/>
                <w:szCs w:val="20"/>
              </w:rPr>
            </w:pPr>
            <w:r>
              <w:rPr>
                <w:sz w:val="20"/>
              </w:rPr>
              <w:t xml:space="preserve">Convention de service </w:t>
            </w:r>
          </w:p>
          <w:p w:rsidR="000F6AE8" w:rsidRPr="004228FD" w:rsidRDefault="000F6AE8" w:rsidP="000F6AE8">
            <w:pPr>
              <w:autoSpaceDE w:val="0"/>
              <w:autoSpaceDN w:val="0"/>
              <w:adjustRightInd w:val="0"/>
              <w:rPr>
                <w:rFonts w:asciiTheme="minorHAnsi" w:hAnsiTheme="minorHAnsi" w:cstheme="minorHAnsi"/>
                <w:sz w:val="20"/>
                <w:szCs w:val="20"/>
              </w:rPr>
            </w:pP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0F6AE8" w:rsidRDefault="000F6AE8" w:rsidP="000F6AE8">
            <w:pPr>
              <w:rPr>
                <w:rFonts w:cs="Calibri"/>
                <w:sz w:val="20"/>
                <w:szCs w:val="20"/>
              </w:rPr>
            </w:pPr>
          </w:p>
          <w:p w:rsidR="004D0BF4" w:rsidRPr="004228FD" w:rsidRDefault="00AC49DA" w:rsidP="00FD6F28">
            <w:pPr>
              <w:rPr>
                <w:rFonts w:cs="Calibri"/>
                <w:sz w:val="20"/>
                <w:szCs w:val="20"/>
              </w:rPr>
            </w:pPr>
            <w:r>
              <w:rPr>
                <w:sz w:val="20"/>
              </w:rPr>
              <w:t>La convention de service signée entre l’organisme de service et la famille hôte ne contient aucune disposition autorisant l’organisme à mener</w:t>
            </w:r>
            <w:r w:rsidR="00FD6F28">
              <w:rPr>
                <w:sz w:val="20"/>
              </w:rPr>
              <w:t>,</w:t>
            </w:r>
            <w:r>
              <w:rPr>
                <w:sz w:val="20"/>
              </w:rPr>
              <w:t xml:space="preserve"> </w:t>
            </w:r>
            <w:r w:rsidR="00FD6F28">
              <w:rPr>
                <w:sz w:val="20"/>
              </w:rPr>
              <w:t xml:space="preserve">au sein de la résidence et du terrain du placement, </w:t>
            </w:r>
            <w:r>
              <w:rPr>
                <w:sz w:val="20"/>
              </w:rPr>
              <w:t xml:space="preserve">des activités de surveillance continues et des examens répétés de la sécurité physique de la personne placée, notamment des visites à la résidence tous les 60 jours avec évaluation des exigences en matière de santé et de sécurité et au moins une visite annuelle </w:t>
            </w:r>
            <w:r w:rsidR="00A854F0">
              <w:rPr>
                <w:sz w:val="20"/>
              </w:rPr>
              <w:t>non annoncée</w:t>
            </w:r>
            <w:r>
              <w:rPr>
                <w:sz w:val="20"/>
              </w:rPr>
              <w:t>.</w:t>
            </w:r>
          </w:p>
        </w:tc>
        <w:tc>
          <w:tcPr>
            <w:tcW w:w="636" w:type="pct"/>
            <w:tcBorders>
              <w:top w:val="single" w:sz="4" w:space="0" w:color="000000"/>
              <w:left w:val="single" w:sz="4" w:space="0" w:color="000000"/>
              <w:bottom w:val="single" w:sz="4" w:space="0" w:color="000000"/>
              <w:right w:val="single" w:sz="4" w:space="0" w:color="000000"/>
            </w:tcBorders>
          </w:tcPr>
          <w:p w:rsidR="004D0BF4" w:rsidRDefault="004D0BF4" w:rsidP="000F6AE8">
            <w:pPr>
              <w:rPr>
                <w:rFonts w:cs="Calibri"/>
                <w:sz w:val="20"/>
                <w:szCs w:val="20"/>
              </w:rPr>
            </w:pPr>
          </w:p>
          <w:p w:rsidR="000F6AE8" w:rsidRPr="004228FD" w:rsidRDefault="000F6AE8" w:rsidP="000F6AE8">
            <w:pPr>
              <w:rPr>
                <w:rFonts w:cs="Calibri"/>
                <w:sz w:val="20"/>
                <w:szCs w:val="20"/>
              </w:rPr>
            </w:pPr>
            <w:r>
              <w:rPr>
                <w:sz w:val="20"/>
              </w:rPr>
              <w:t>Une lettre ou un document confirmant que la mesure corrective a été menée à bien.</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0F6AE8" w:rsidRPr="004228FD" w:rsidTr="00637B60">
        <w:trPr>
          <w:trHeight w:val="960"/>
        </w:trPr>
        <w:tc>
          <w:tcPr>
            <w:tcW w:w="1185"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before="8" w:line="180" w:lineRule="exact"/>
              <w:rPr>
                <w:rFonts w:cs="Calibri"/>
              </w:rPr>
            </w:pPr>
          </w:p>
          <w:p w:rsidR="000F6AE8" w:rsidRPr="004228FD" w:rsidRDefault="000F6AE8" w:rsidP="000F6AE8">
            <w:pPr>
              <w:keepNext/>
              <w:spacing w:before="240" w:after="60"/>
              <w:jc w:val="center"/>
              <w:outlineLvl w:val="0"/>
              <w:rPr>
                <w:rFonts w:asciiTheme="minorHAnsi" w:eastAsiaTheme="majorEastAsia" w:hAnsiTheme="minorHAnsi" w:cstheme="minorHAnsi"/>
                <w:bCs/>
                <w:kern w:val="32"/>
                <w:sz w:val="24"/>
                <w:szCs w:val="32"/>
              </w:rPr>
            </w:pPr>
            <w:r>
              <w:rPr>
                <w:rFonts w:asciiTheme="minorHAnsi" w:eastAsiaTheme="majorEastAsia" w:hAnsiTheme="minorHAnsi" w:cstheme="minorHAnsi"/>
                <w:b/>
                <w:kern w:val="32"/>
                <w:sz w:val="24"/>
              </w:rPr>
              <w:t>Dossiers et documents</w:t>
            </w:r>
          </w:p>
          <w:p w:rsidR="000F6AE8" w:rsidRPr="004228FD" w:rsidRDefault="000F6AE8" w:rsidP="000F6AE8">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A4611C" w:rsidP="000F6AE8">
            <w:pPr>
              <w:jc w:val="center"/>
              <w:rPr>
                <w:rFonts w:cs="Calibri"/>
              </w:rPr>
            </w:pPr>
            <w:r>
              <w:rPr>
                <w:b/>
              </w:rPr>
              <w:t>Risque</w:t>
            </w:r>
          </w:p>
        </w:tc>
        <w:tc>
          <w:tcPr>
            <w:tcW w:w="802"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spacing w:line="200" w:lineRule="exact"/>
              <w:jc w:val="center"/>
              <w:rPr>
                <w:rFonts w:cs="Calibri"/>
              </w:rPr>
            </w:pPr>
          </w:p>
          <w:p w:rsidR="000F6AE8" w:rsidRPr="004228FD" w:rsidRDefault="000F6AE8" w:rsidP="000F6AE8">
            <w:pPr>
              <w:spacing w:line="200" w:lineRule="exact"/>
              <w:jc w:val="center"/>
              <w:rPr>
                <w:rFonts w:cs="Calibri"/>
                <w:b/>
              </w:rPr>
            </w:pPr>
          </w:p>
          <w:p w:rsidR="000F6AE8" w:rsidRPr="004228FD" w:rsidRDefault="000F6AE8" w:rsidP="000F6AE8">
            <w:pPr>
              <w:spacing w:line="200" w:lineRule="exact"/>
              <w:jc w:val="center"/>
              <w:rPr>
                <w:rFonts w:cs="Calibri"/>
              </w:rPr>
            </w:pPr>
            <w:r>
              <w:rPr>
                <w:b/>
              </w:rPr>
              <w:t>Indicateur</w:t>
            </w:r>
          </w:p>
          <w:p w:rsidR="000F6AE8" w:rsidRPr="004228FD" w:rsidRDefault="000F6AE8" w:rsidP="000F6AE8">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b/>
              </w:rPr>
            </w:pPr>
            <w:r>
              <w:rPr>
                <w:b/>
              </w:rPr>
              <w:t>Non-conformité constatée</w:t>
            </w:r>
          </w:p>
        </w:tc>
        <w:tc>
          <w:tcPr>
            <w:tcW w:w="636" w:type="pct"/>
            <w:tcBorders>
              <w:top w:val="single" w:sz="4" w:space="0" w:color="000000"/>
              <w:left w:val="single" w:sz="4" w:space="0" w:color="000000"/>
              <w:right w:val="single" w:sz="4" w:space="0" w:color="000000"/>
            </w:tcBorders>
            <w:shd w:val="clear" w:color="auto" w:fill="BFBFBF"/>
          </w:tcPr>
          <w:p w:rsidR="000F6AE8" w:rsidRPr="004228FD" w:rsidRDefault="000F6AE8" w:rsidP="000F6AE8">
            <w:pPr>
              <w:jc w:val="center"/>
              <w:rPr>
                <w:rFonts w:cs="Calibri"/>
                <w:b/>
              </w:rPr>
            </w:pPr>
          </w:p>
          <w:p w:rsidR="000F6AE8" w:rsidRPr="004228FD" w:rsidRDefault="000F6AE8" w:rsidP="000F6AE8">
            <w:pPr>
              <w:jc w:val="center"/>
              <w:rPr>
                <w:rFonts w:cs="Calibri"/>
              </w:rPr>
            </w:pPr>
            <w:r>
              <w:rPr>
                <w:b/>
              </w:rPr>
              <w:t>Exigence de conformité</w:t>
            </w:r>
          </w:p>
        </w:tc>
      </w:tr>
      <w:tr w:rsidR="000F6AE8" w:rsidRPr="004228FD" w:rsidTr="00637B6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D624D6" w:rsidRDefault="00D624D6" w:rsidP="00D624D6">
            <w:pPr>
              <w:spacing w:before="48"/>
              <w:rPr>
                <w:rFonts w:cs="Calibri"/>
                <w:sz w:val="20"/>
                <w:szCs w:val="20"/>
              </w:rPr>
            </w:pPr>
          </w:p>
          <w:p w:rsidR="000F6AE8" w:rsidRPr="004228FD" w:rsidRDefault="00D624D6" w:rsidP="00D624D6">
            <w:pPr>
              <w:spacing w:before="48"/>
              <w:rPr>
                <w:rFonts w:cs="Calibri"/>
                <w:sz w:val="20"/>
                <w:szCs w:val="20"/>
              </w:rPr>
            </w:pPr>
            <w:r>
              <w:rPr>
                <w:sz w:val="20"/>
              </w:rPr>
              <w:t>66. Convention de service, signalement des changements</w:t>
            </w:r>
          </w:p>
          <w:p w:rsidR="000F6AE8" w:rsidRPr="004228FD" w:rsidRDefault="000F6AE8" w:rsidP="00D624D6">
            <w:pPr>
              <w:spacing w:before="7" w:line="190" w:lineRule="exact"/>
              <w:rPr>
                <w:rFonts w:cs="Calibri"/>
                <w:sz w:val="20"/>
                <w:szCs w:val="20"/>
              </w:rPr>
            </w:pPr>
          </w:p>
          <w:p w:rsidR="000F6AE8" w:rsidRDefault="0002609B" w:rsidP="000F6AE8">
            <w:pPr>
              <w:rPr>
                <w:rFonts w:cs="Calibri"/>
                <w:sz w:val="20"/>
                <w:szCs w:val="20"/>
              </w:rPr>
            </w:pPr>
            <w:r>
              <w:rPr>
                <w:sz w:val="20"/>
              </w:rPr>
              <w:t xml:space="preserve">Les organismes de service doivent, pour chaque placement, signer avec la famille hôte une convention qui oblige la famille hôte à signaler tout changement important qui la concerne ou qui concerne la personne placée ou ses conditions de vie (p. ex. maladie physique ou mentale, décès d’un membre de la famille, accident, autre placement proposé au sein de la résidence). </w:t>
            </w:r>
          </w:p>
          <w:p w:rsidR="0002609B" w:rsidRPr="004228FD" w:rsidRDefault="0002609B" w:rsidP="000F6AE8">
            <w:pPr>
              <w:rPr>
                <w:rFonts w:cs="Calibri"/>
                <w:sz w:val="20"/>
                <w:szCs w:val="20"/>
              </w:rPr>
            </w:pPr>
          </w:p>
          <w:p w:rsidR="00D624D6" w:rsidRPr="004228FD" w:rsidRDefault="00D624D6" w:rsidP="00D624D6">
            <w:pPr>
              <w:widowControl/>
              <w:rPr>
                <w:rFonts w:cs="Calibri"/>
                <w:sz w:val="16"/>
                <w:szCs w:val="16"/>
              </w:rPr>
            </w:pPr>
            <w:r>
              <w:rPr>
                <w:sz w:val="20"/>
              </w:rPr>
              <w:t>Directives en matière de politique s’appliquant aux organismes de service en ce qui a trait au Programme de placement en famille hôte 2.0</w:t>
            </w:r>
          </w:p>
          <w:p w:rsidR="000F6AE8" w:rsidRPr="004228FD" w:rsidRDefault="000F6AE8" w:rsidP="000F6AE8">
            <w:pPr>
              <w:rPr>
                <w:rFonts w:cs="Calibri"/>
                <w:sz w:val="20"/>
                <w:szCs w:val="20"/>
              </w:rPr>
            </w:pPr>
          </w:p>
          <w:p w:rsidR="000F6AE8" w:rsidRPr="004228FD" w:rsidRDefault="000F6AE8" w:rsidP="000F6AE8">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0F6AE8" w:rsidRPr="004228FD" w:rsidRDefault="000F6AE8" w:rsidP="000F6AE8">
            <w:pPr>
              <w:rPr>
                <w:sz w:val="20"/>
              </w:rPr>
            </w:pPr>
          </w:p>
          <w:p w:rsidR="00E142E7" w:rsidRDefault="00E142E7" w:rsidP="00E142E7">
            <w:pPr>
              <w:rPr>
                <w:sz w:val="20"/>
                <w:szCs w:val="20"/>
              </w:rPr>
            </w:pPr>
            <w:r>
              <w:rPr>
                <w:sz w:val="20"/>
              </w:rPr>
              <w:t>Afin d’encourager une compréhension commune du placement en famille hôte, les organismes sont tenus de signer avec la famille hôte une convention qui décrit les attentes de l’organisme à l’égard de la famille hôte et les activités de soutien et de supervision réalisées par l’organisme.</w:t>
            </w:r>
          </w:p>
          <w:p w:rsidR="00E142E7" w:rsidRDefault="00E142E7" w:rsidP="000F6AE8">
            <w:pPr>
              <w:autoSpaceDE w:val="0"/>
              <w:autoSpaceDN w:val="0"/>
              <w:adjustRightInd w:val="0"/>
              <w:rPr>
                <w:rFonts w:cs="Calibri"/>
                <w:sz w:val="20"/>
                <w:szCs w:val="20"/>
              </w:rPr>
            </w:pPr>
          </w:p>
          <w:p w:rsidR="000F6AE8" w:rsidRPr="004228FD" w:rsidRDefault="00DA0C91" w:rsidP="000F6AE8">
            <w:pPr>
              <w:autoSpaceDE w:val="0"/>
              <w:autoSpaceDN w:val="0"/>
              <w:adjustRightInd w:val="0"/>
              <w:rPr>
                <w:rFonts w:cs="Calibri"/>
                <w:sz w:val="20"/>
                <w:szCs w:val="20"/>
              </w:rPr>
            </w:pPr>
            <w:r>
              <w:rPr>
                <w:sz w:val="20"/>
              </w:rPr>
              <w:t>La convention doit obliger la famille hôte à signaler à l’organisme tout changement important qui la concerne ou qui concerne la personne plac</w:t>
            </w:r>
            <w:r w:rsidR="00A854F0">
              <w:rPr>
                <w:sz w:val="20"/>
              </w:rPr>
              <w:t>ée ou ses conditions</w:t>
            </w:r>
            <w:r>
              <w:rPr>
                <w:sz w:val="20"/>
              </w:rPr>
              <w:t xml:space="preserve"> de vie.</w:t>
            </w:r>
          </w:p>
          <w:p w:rsidR="000F6AE8" w:rsidRPr="004228FD" w:rsidRDefault="000F6AE8" w:rsidP="000F6AE8">
            <w:pPr>
              <w:autoSpaceDE w:val="0"/>
              <w:autoSpaceDN w:val="0"/>
              <w:adjustRightInd w:val="0"/>
              <w:rPr>
                <w:rFonts w:cs="Calibri"/>
                <w:sz w:val="20"/>
                <w:szCs w:val="20"/>
              </w:rPr>
            </w:pPr>
          </w:p>
          <w:p w:rsidR="000F6AE8" w:rsidRPr="004228FD" w:rsidRDefault="000F6AE8" w:rsidP="00A44FB9">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0F6AE8" w:rsidRDefault="000F6AE8" w:rsidP="000F6AE8">
            <w:pPr>
              <w:rPr>
                <w:rFonts w:cs="Calibri"/>
                <w:sz w:val="20"/>
                <w:szCs w:val="20"/>
              </w:rPr>
            </w:pPr>
          </w:p>
          <w:p w:rsidR="00D624D6" w:rsidRPr="004228FD" w:rsidRDefault="00AC49DA" w:rsidP="00D624D6">
            <w:pPr>
              <w:jc w:val="center"/>
              <w:rPr>
                <w:rFonts w:cs="Calibri"/>
                <w:sz w:val="20"/>
                <w:szCs w:val="20"/>
              </w:rPr>
            </w:pPr>
            <w:r>
              <w:rPr>
                <w:sz w:val="20"/>
              </w:rPr>
              <w:t>MODÉRÉ</w:t>
            </w:r>
          </w:p>
          <w:p w:rsidR="000F6AE8" w:rsidRPr="004228FD" w:rsidRDefault="000F6AE8" w:rsidP="000F6AE8">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0F6AE8" w:rsidRDefault="000F6AE8" w:rsidP="000F6AE8">
            <w:pPr>
              <w:autoSpaceDE w:val="0"/>
              <w:autoSpaceDN w:val="0"/>
              <w:adjustRightInd w:val="0"/>
              <w:rPr>
                <w:rFonts w:cs="Calibri"/>
                <w:sz w:val="20"/>
                <w:szCs w:val="20"/>
              </w:rPr>
            </w:pPr>
          </w:p>
          <w:p w:rsidR="00D624D6" w:rsidRPr="004228FD" w:rsidRDefault="00D624D6" w:rsidP="000F6AE8">
            <w:pPr>
              <w:autoSpaceDE w:val="0"/>
              <w:autoSpaceDN w:val="0"/>
              <w:adjustRightInd w:val="0"/>
              <w:rPr>
                <w:rFonts w:asciiTheme="minorHAnsi" w:hAnsiTheme="minorHAnsi" w:cstheme="minorHAnsi"/>
                <w:sz w:val="20"/>
                <w:szCs w:val="20"/>
              </w:rPr>
            </w:pPr>
            <w:r>
              <w:rPr>
                <w:sz w:val="20"/>
              </w:rPr>
              <w:t>Convention de service</w:t>
            </w:r>
          </w:p>
          <w:p w:rsidR="000F6AE8" w:rsidRPr="004228FD" w:rsidRDefault="000F6AE8" w:rsidP="000F6AE8">
            <w:pPr>
              <w:rPr>
                <w:rFonts w:asciiTheme="minorHAnsi" w:hAnsiTheme="minorHAnsi" w:cstheme="minorHAnsi"/>
                <w:sz w:val="20"/>
                <w:szCs w:val="20"/>
              </w:rPr>
            </w:pPr>
          </w:p>
          <w:p w:rsidR="000F6AE8" w:rsidRPr="004228FD" w:rsidRDefault="000F6AE8" w:rsidP="000F6AE8">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D624D6" w:rsidRDefault="00D624D6" w:rsidP="000F6AE8">
            <w:pPr>
              <w:rPr>
                <w:rFonts w:cs="Calibri"/>
                <w:sz w:val="20"/>
                <w:szCs w:val="20"/>
              </w:rPr>
            </w:pPr>
          </w:p>
          <w:p w:rsidR="000F6AE8" w:rsidRPr="004228FD" w:rsidRDefault="00AC49DA" w:rsidP="000F6AE8">
            <w:pPr>
              <w:rPr>
                <w:rFonts w:cs="Calibri"/>
                <w:sz w:val="20"/>
                <w:szCs w:val="20"/>
              </w:rPr>
            </w:pPr>
            <w:r>
              <w:rPr>
                <w:sz w:val="20"/>
              </w:rPr>
              <w:t>La convention de service signée entre l’organisme de service et la famille hôte n’oblige pas la famille hôte à signaler tout changement important qui la concerne ou qui concerne la personne placée ou ses conditions de vie (p. ex. maladie physique ou mentale, décès d’un membre de la famille, accident).</w:t>
            </w:r>
          </w:p>
        </w:tc>
        <w:tc>
          <w:tcPr>
            <w:tcW w:w="636" w:type="pct"/>
            <w:tcBorders>
              <w:top w:val="single" w:sz="4" w:space="0" w:color="000000"/>
              <w:left w:val="single" w:sz="4" w:space="0" w:color="000000"/>
              <w:bottom w:val="single" w:sz="4" w:space="0" w:color="000000"/>
              <w:right w:val="single" w:sz="4" w:space="0" w:color="000000"/>
            </w:tcBorders>
          </w:tcPr>
          <w:p w:rsidR="00D624D6" w:rsidRDefault="00D624D6" w:rsidP="000F6AE8">
            <w:pPr>
              <w:rPr>
                <w:rFonts w:cs="Calibri"/>
                <w:sz w:val="20"/>
                <w:szCs w:val="20"/>
              </w:rPr>
            </w:pPr>
          </w:p>
          <w:p w:rsidR="000F6AE8" w:rsidRPr="004228FD" w:rsidRDefault="000F6AE8" w:rsidP="000F6AE8">
            <w:pPr>
              <w:rPr>
                <w:rFonts w:cs="Calibri"/>
                <w:sz w:val="20"/>
                <w:szCs w:val="20"/>
              </w:rPr>
            </w:pPr>
            <w:r>
              <w:rPr>
                <w:sz w:val="20"/>
              </w:rPr>
              <w:t>Une lettre ou un document confirmant que la mesure corrective a été menée à bien.</w:t>
            </w:r>
          </w:p>
          <w:p w:rsidR="000F6AE8" w:rsidRPr="004228FD" w:rsidRDefault="000F6AE8" w:rsidP="000F6AE8">
            <w:pPr>
              <w:rPr>
                <w:rFonts w:cs="Calibri"/>
                <w:sz w:val="20"/>
                <w:szCs w:val="20"/>
              </w:rPr>
            </w:pPr>
          </w:p>
          <w:p w:rsidR="000F6AE8" w:rsidRPr="004228FD" w:rsidRDefault="000F6AE8" w:rsidP="000F6AE8">
            <w:pPr>
              <w:rPr>
                <w:rFonts w:cs="Calibri"/>
                <w:sz w:val="20"/>
                <w:szCs w:val="20"/>
              </w:rPr>
            </w:pPr>
          </w:p>
        </w:tc>
      </w:tr>
    </w:tbl>
    <w:p w:rsidR="00186DAE" w:rsidRPr="0081122E" w:rsidRDefault="00186DAE">
      <w:pPr>
        <w:rPr>
          <w:rFonts w:cs="Calibri"/>
          <w:sz w:val="20"/>
          <w:szCs w:val="20"/>
        </w:rPr>
        <w:sectPr w:rsidR="00186DAE" w:rsidRPr="0081122E" w:rsidSect="00F26D23">
          <w:pgSz w:w="15840" w:h="12240" w:orient="landscape" w:code="1"/>
          <w:pgMar w:top="2200" w:right="480" w:bottom="420" w:left="500" w:header="600" w:footer="230" w:gutter="0"/>
          <w:cols w:space="720"/>
          <w:docGrid w:linePitch="299"/>
        </w:sectPr>
      </w:pPr>
    </w:p>
    <w:p w:rsidR="00186DAE" w:rsidRPr="0081122E" w:rsidRDefault="00186DAE">
      <w:pPr>
        <w:spacing w:line="110" w:lineRule="exact"/>
        <w:rPr>
          <w:rFonts w:cs="Calibri"/>
          <w:sz w:val="20"/>
          <w:szCs w:val="20"/>
        </w:rPr>
      </w:pPr>
    </w:p>
    <w:p w:rsidR="00186DAE" w:rsidRPr="0081122E" w:rsidRDefault="00186DAE">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B248CA" w:rsidRPr="004228FD" w:rsidTr="00715E70">
        <w:trPr>
          <w:trHeight w:val="960"/>
        </w:trPr>
        <w:tc>
          <w:tcPr>
            <w:tcW w:w="1185"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spacing w:before="8" w:line="180" w:lineRule="exact"/>
              <w:rPr>
                <w:rFonts w:cs="Calibri"/>
              </w:rPr>
            </w:pPr>
          </w:p>
          <w:p w:rsidR="00B248CA" w:rsidRPr="004228FD" w:rsidRDefault="00B248CA" w:rsidP="00715E70">
            <w:pPr>
              <w:keepNext/>
              <w:spacing w:before="240" w:after="60"/>
              <w:jc w:val="center"/>
              <w:outlineLvl w:val="0"/>
              <w:rPr>
                <w:rFonts w:asciiTheme="minorHAnsi" w:eastAsiaTheme="majorEastAsia" w:hAnsiTheme="minorHAnsi" w:cstheme="minorHAnsi"/>
                <w:bCs/>
                <w:kern w:val="32"/>
                <w:sz w:val="24"/>
                <w:szCs w:val="32"/>
              </w:rPr>
            </w:pPr>
            <w:r>
              <w:rPr>
                <w:rFonts w:asciiTheme="minorHAnsi" w:eastAsiaTheme="majorEastAsia" w:hAnsiTheme="minorHAnsi" w:cstheme="minorHAnsi"/>
                <w:b/>
                <w:kern w:val="32"/>
                <w:sz w:val="24"/>
              </w:rPr>
              <w:t>Dossiers et documents</w:t>
            </w:r>
          </w:p>
          <w:p w:rsidR="00B248CA" w:rsidRPr="004228FD" w:rsidRDefault="00B248CA" w:rsidP="00715E70">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rPr>
            </w:pPr>
            <w:r>
              <w:rPr>
                <w:b/>
              </w:rPr>
              <w:t>Risque</w:t>
            </w:r>
          </w:p>
        </w:tc>
        <w:tc>
          <w:tcPr>
            <w:tcW w:w="802"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spacing w:line="200" w:lineRule="exact"/>
              <w:jc w:val="center"/>
              <w:rPr>
                <w:rFonts w:cs="Calibri"/>
              </w:rPr>
            </w:pPr>
          </w:p>
          <w:p w:rsidR="00B248CA" w:rsidRPr="004228FD" w:rsidRDefault="00B248CA" w:rsidP="00715E70">
            <w:pPr>
              <w:spacing w:line="200" w:lineRule="exact"/>
              <w:jc w:val="center"/>
              <w:rPr>
                <w:rFonts w:cs="Calibri"/>
                <w:b/>
              </w:rPr>
            </w:pPr>
          </w:p>
          <w:p w:rsidR="00B248CA" w:rsidRPr="004228FD" w:rsidRDefault="00B248CA" w:rsidP="00715E70">
            <w:pPr>
              <w:spacing w:line="200" w:lineRule="exact"/>
              <w:jc w:val="center"/>
              <w:rPr>
                <w:rFonts w:cs="Calibri"/>
              </w:rPr>
            </w:pPr>
            <w:r>
              <w:rPr>
                <w:b/>
              </w:rPr>
              <w:t>Indicateur</w:t>
            </w:r>
          </w:p>
          <w:p w:rsidR="00B248CA" w:rsidRPr="004228FD" w:rsidRDefault="00B248CA" w:rsidP="00715E70">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b/>
              </w:rPr>
            </w:pPr>
            <w:r>
              <w:rPr>
                <w:b/>
              </w:rPr>
              <w:t>Non-conformité constatée</w:t>
            </w:r>
          </w:p>
        </w:tc>
        <w:tc>
          <w:tcPr>
            <w:tcW w:w="636"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rPr>
            </w:pPr>
            <w:r>
              <w:rPr>
                <w:b/>
              </w:rPr>
              <w:t>Exigence de conformité</w:t>
            </w:r>
          </w:p>
        </w:tc>
      </w:tr>
      <w:tr w:rsidR="00B248CA" w:rsidRPr="004228FD" w:rsidTr="00715E7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spacing w:before="48"/>
              <w:rPr>
                <w:rFonts w:cs="Calibri"/>
                <w:sz w:val="20"/>
                <w:szCs w:val="20"/>
              </w:rPr>
            </w:pPr>
          </w:p>
          <w:p w:rsidR="00B248CA" w:rsidRPr="004228FD" w:rsidRDefault="00B248CA" w:rsidP="00715E70">
            <w:pPr>
              <w:spacing w:before="48"/>
              <w:rPr>
                <w:rFonts w:cs="Calibri"/>
                <w:sz w:val="20"/>
                <w:szCs w:val="20"/>
              </w:rPr>
            </w:pPr>
            <w:r w:rsidRPr="00470582">
              <w:rPr>
                <w:sz w:val="20"/>
              </w:rPr>
              <w:t>67. Convention de service, nouvel adulte ou enfant</w:t>
            </w:r>
          </w:p>
          <w:p w:rsidR="00B248CA" w:rsidRPr="004228FD" w:rsidRDefault="00B248CA" w:rsidP="00715E70">
            <w:pPr>
              <w:spacing w:before="7" w:line="190" w:lineRule="exact"/>
              <w:rPr>
                <w:rFonts w:cs="Calibri"/>
                <w:sz w:val="20"/>
                <w:szCs w:val="20"/>
              </w:rPr>
            </w:pPr>
          </w:p>
          <w:p w:rsidR="00B248CA" w:rsidRDefault="00B248CA" w:rsidP="00715E70">
            <w:pPr>
              <w:widowControl/>
              <w:rPr>
                <w:rFonts w:cs="Calibri"/>
                <w:sz w:val="20"/>
                <w:szCs w:val="20"/>
              </w:rPr>
            </w:pPr>
            <w:r>
              <w:rPr>
                <w:sz w:val="20"/>
              </w:rPr>
              <w:t xml:space="preserve">Les organismes de service doivent, pour chaque placement, signer avec la famille hôte une convention qui oblige la famille hôte à signaler l’arrivée d’un nouvel adulte ou enfant au sein de la résidence de la famille hôte, à temps plein ou à temps partiel. </w:t>
            </w:r>
          </w:p>
          <w:p w:rsidR="00B248CA" w:rsidRDefault="00B248CA" w:rsidP="00715E70">
            <w:pPr>
              <w:widowControl/>
              <w:rPr>
                <w:rFonts w:cs="Calibri"/>
                <w:sz w:val="20"/>
                <w:szCs w:val="20"/>
              </w:rPr>
            </w:pPr>
          </w:p>
          <w:p w:rsidR="00B248CA" w:rsidRPr="004228FD" w:rsidRDefault="00B248CA" w:rsidP="00715E70">
            <w:pPr>
              <w:widowControl/>
              <w:rPr>
                <w:rFonts w:cs="Calibri"/>
                <w:sz w:val="16"/>
                <w:szCs w:val="16"/>
              </w:rPr>
            </w:pPr>
            <w:r>
              <w:rPr>
                <w:sz w:val="20"/>
              </w:rPr>
              <w:t>Directives en matière de politique s’appliquant aux organismes de service en ce qui a trait au Programme de placement en famille hôte 2.0</w:t>
            </w:r>
          </w:p>
          <w:p w:rsidR="00B248CA" w:rsidRPr="004228FD" w:rsidRDefault="00B248CA" w:rsidP="00715E70">
            <w:pPr>
              <w:rPr>
                <w:rFonts w:cs="Calibri"/>
                <w:sz w:val="20"/>
                <w:szCs w:val="20"/>
              </w:rPr>
            </w:pPr>
          </w:p>
          <w:p w:rsidR="00B248CA" w:rsidRPr="004228FD" w:rsidRDefault="00B248CA" w:rsidP="00715E70">
            <w:pPr>
              <w:rPr>
                <w:rFonts w:cs="Calibri"/>
                <w:sz w:val="20"/>
                <w:szCs w:val="20"/>
              </w:rPr>
            </w:pPr>
          </w:p>
          <w:p w:rsidR="00B248CA" w:rsidRPr="004228FD" w:rsidRDefault="00B248CA" w:rsidP="00715E70">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B248CA" w:rsidRPr="004228FD" w:rsidRDefault="00B248CA" w:rsidP="00715E70">
            <w:pPr>
              <w:autoSpaceDE w:val="0"/>
              <w:autoSpaceDN w:val="0"/>
              <w:adjustRightInd w:val="0"/>
              <w:rPr>
                <w:rFonts w:cs="Calibri"/>
                <w:sz w:val="20"/>
                <w:szCs w:val="20"/>
              </w:rPr>
            </w:pPr>
          </w:p>
          <w:p w:rsidR="00B248CA" w:rsidRDefault="00B248CA" w:rsidP="00715E70">
            <w:pPr>
              <w:rPr>
                <w:sz w:val="20"/>
                <w:szCs w:val="20"/>
              </w:rPr>
            </w:pPr>
            <w:r>
              <w:rPr>
                <w:sz w:val="20"/>
              </w:rPr>
              <w:t>Afin d’encourager une compréhension commune du placement en famille hôte, les organismes sont tenus de signer avec la famille hôte une convention qui décrit les attentes de l’organisme à l’égard de la famille hôte et les activités de soutien et de supervision réalisées par l’organisme.</w:t>
            </w:r>
          </w:p>
          <w:p w:rsidR="00B248CA" w:rsidRDefault="00B248CA" w:rsidP="00715E70">
            <w:pPr>
              <w:autoSpaceDE w:val="0"/>
              <w:autoSpaceDN w:val="0"/>
              <w:adjustRightInd w:val="0"/>
              <w:rPr>
                <w:rFonts w:cs="Calibri"/>
                <w:sz w:val="20"/>
                <w:szCs w:val="20"/>
              </w:rPr>
            </w:pPr>
          </w:p>
          <w:p w:rsidR="00B248CA"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r>
              <w:rPr>
                <w:sz w:val="20"/>
              </w:rPr>
              <w:t>La convention doit obliger la famille hôte à signaler à l’organisme l’arrivée d’un nouvel adulte ou enfant au sein de la résidence de la famille hôte, à temps plein ou à temps partiel.</w:t>
            </w:r>
          </w:p>
          <w:p w:rsidR="00B248CA" w:rsidRPr="004228FD"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jc w:val="center"/>
              <w:rPr>
                <w:rFonts w:cs="Calibri"/>
                <w:sz w:val="20"/>
                <w:szCs w:val="20"/>
              </w:rPr>
            </w:pPr>
            <w:r>
              <w:rPr>
                <w:sz w:val="20"/>
              </w:rPr>
              <w:t>MODÉRÉ</w:t>
            </w:r>
          </w:p>
          <w:p w:rsidR="00B248CA" w:rsidRPr="004228FD" w:rsidRDefault="00B248CA" w:rsidP="00715E70">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B248CA"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asciiTheme="minorHAnsi" w:hAnsiTheme="minorHAnsi" w:cstheme="minorHAnsi"/>
                <w:sz w:val="20"/>
                <w:szCs w:val="20"/>
              </w:rPr>
            </w:pPr>
            <w:r>
              <w:rPr>
                <w:sz w:val="20"/>
              </w:rPr>
              <w:t>Convention de service</w:t>
            </w:r>
          </w:p>
          <w:p w:rsidR="00B248CA" w:rsidRPr="004228FD" w:rsidRDefault="00B248CA" w:rsidP="00715E70">
            <w:pPr>
              <w:autoSpaceDE w:val="0"/>
              <w:autoSpaceDN w:val="0"/>
              <w:adjustRightInd w:val="0"/>
              <w:rPr>
                <w:rFonts w:asciiTheme="minorHAnsi" w:hAnsiTheme="minorHAnsi" w:cstheme="minorHAnsi"/>
                <w:sz w:val="20"/>
                <w:szCs w:val="20"/>
              </w:rPr>
            </w:pPr>
          </w:p>
          <w:p w:rsidR="00B248CA" w:rsidRPr="004228FD" w:rsidRDefault="00B248CA" w:rsidP="00715E70">
            <w:pPr>
              <w:autoSpaceDE w:val="0"/>
              <w:autoSpaceDN w:val="0"/>
              <w:adjustRightInd w:val="0"/>
              <w:rPr>
                <w:rFonts w:asciiTheme="minorHAnsi" w:hAnsiTheme="minorHAnsi" w:cstheme="minorHAnsi"/>
                <w:sz w:val="20"/>
                <w:szCs w:val="20"/>
              </w:rPr>
            </w:pPr>
          </w:p>
          <w:p w:rsidR="00B248CA" w:rsidRPr="004228FD" w:rsidRDefault="00B248CA" w:rsidP="00715E70">
            <w:pPr>
              <w:rPr>
                <w:rFonts w:asciiTheme="minorHAnsi" w:hAnsiTheme="minorHAnsi" w:cstheme="minorHAnsi"/>
                <w:sz w:val="20"/>
                <w:szCs w:val="20"/>
              </w:rPr>
            </w:pPr>
          </w:p>
          <w:p w:rsidR="00B248CA" w:rsidRPr="004228FD" w:rsidRDefault="00B248CA" w:rsidP="00715E70">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rPr>
                <w:rFonts w:cs="Calibri"/>
                <w:sz w:val="20"/>
                <w:szCs w:val="20"/>
              </w:rPr>
            </w:pPr>
            <w:r>
              <w:rPr>
                <w:sz w:val="20"/>
              </w:rPr>
              <w:t>La convention de service signée entre l’organisme de service et la famille hôte n’oblige pas la famille hôte à signaler l’arrivée d’un nouvel adulte ou enfant au sein de la résidence de la famille hôte, à temps plein ou à temps partiel.</w:t>
            </w:r>
          </w:p>
        </w:tc>
        <w:tc>
          <w:tcPr>
            <w:tcW w:w="636"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rPr>
                <w:rFonts w:cs="Calibri"/>
                <w:sz w:val="20"/>
                <w:szCs w:val="20"/>
              </w:rPr>
            </w:pPr>
            <w:r>
              <w:rPr>
                <w:sz w:val="20"/>
              </w:rPr>
              <w:t>Une lettre ou un document confirmant que la mesure corrective a été menée à bien.</w:t>
            </w:r>
          </w:p>
          <w:p w:rsidR="00B248CA" w:rsidRPr="004228FD" w:rsidRDefault="00B248CA" w:rsidP="00715E70">
            <w:pPr>
              <w:rPr>
                <w:rFonts w:cs="Calibri"/>
                <w:sz w:val="20"/>
                <w:szCs w:val="20"/>
              </w:rPr>
            </w:pPr>
          </w:p>
          <w:p w:rsidR="00B248CA" w:rsidRPr="004228FD" w:rsidRDefault="00B248CA" w:rsidP="00715E70">
            <w:pPr>
              <w:rPr>
                <w:rFonts w:cs="Calibri"/>
                <w:sz w:val="20"/>
                <w:szCs w:val="20"/>
              </w:rPr>
            </w:pPr>
          </w:p>
        </w:tc>
      </w:tr>
    </w:tbl>
    <w:p w:rsidR="00B248CA" w:rsidRPr="0081122E" w:rsidRDefault="00B248CA" w:rsidP="00B248CA">
      <w:pPr>
        <w:rPr>
          <w:rFonts w:cs="Calibri"/>
          <w:sz w:val="20"/>
          <w:szCs w:val="20"/>
        </w:rPr>
        <w:sectPr w:rsidR="00B248CA" w:rsidRPr="0081122E" w:rsidSect="00F26D23">
          <w:pgSz w:w="15840" w:h="12240" w:orient="landscape" w:code="1"/>
          <w:pgMar w:top="2200" w:right="480" w:bottom="420" w:left="500" w:header="600" w:footer="230" w:gutter="0"/>
          <w:cols w:space="720"/>
          <w:docGrid w:linePitch="299"/>
        </w:sectPr>
      </w:pPr>
    </w:p>
    <w:p w:rsidR="00B248CA" w:rsidRPr="0081122E" w:rsidRDefault="00B248CA" w:rsidP="00B248CA">
      <w:pPr>
        <w:spacing w:line="110" w:lineRule="exact"/>
        <w:rPr>
          <w:rFonts w:cs="Calibri"/>
          <w:sz w:val="20"/>
          <w:szCs w:val="20"/>
        </w:rPr>
      </w:pPr>
    </w:p>
    <w:p w:rsidR="00B248CA" w:rsidRPr="0081122E" w:rsidRDefault="00B248CA" w:rsidP="00B248CA">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B248CA" w:rsidRPr="004228FD" w:rsidTr="00715E70">
        <w:trPr>
          <w:trHeight w:val="960"/>
        </w:trPr>
        <w:tc>
          <w:tcPr>
            <w:tcW w:w="1185"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spacing w:before="8" w:line="180" w:lineRule="exact"/>
              <w:rPr>
                <w:rFonts w:cs="Calibri"/>
              </w:rPr>
            </w:pPr>
          </w:p>
          <w:p w:rsidR="00B248CA" w:rsidRPr="004228FD" w:rsidRDefault="00B248CA" w:rsidP="00715E70">
            <w:pPr>
              <w:keepNext/>
              <w:spacing w:before="240" w:after="60"/>
              <w:jc w:val="center"/>
              <w:outlineLvl w:val="0"/>
              <w:rPr>
                <w:rFonts w:asciiTheme="minorHAnsi" w:eastAsiaTheme="majorEastAsia" w:hAnsiTheme="minorHAnsi" w:cstheme="minorHAnsi"/>
                <w:bCs/>
                <w:kern w:val="32"/>
                <w:sz w:val="24"/>
                <w:szCs w:val="32"/>
              </w:rPr>
            </w:pPr>
            <w:r>
              <w:rPr>
                <w:rFonts w:asciiTheme="minorHAnsi" w:eastAsiaTheme="majorEastAsia" w:hAnsiTheme="minorHAnsi" w:cstheme="minorHAnsi"/>
                <w:b/>
                <w:kern w:val="32"/>
                <w:sz w:val="24"/>
              </w:rPr>
              <w:t>Dossiers et documents</w:t>
            </w:r>
          </w:p>
          <w:p w:rsidR="00B248CA" w:rsidRPr="004228FD" w:rsidRDefault="00B248CA" w:rsidP="00715E70">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rPr>
            </w:pPr>
            <w:r>
              <w:rPr>
                <w:b/>
              </w:rPr>
              <w:t>Risque</w:t>
            </w:r>
          </w:p>
        </w:tc>
        <w:tc>
          <w:tcPr>
            <w:tcW w:w="802"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spacing w:line="200" w:lineRule="exact"/>
              <w:jc w:val="center"/>
              <w:rPr>
                <w:rFonts w:cs="Calibri"/>
              </w:rPr>
            </w:pPr>
          </w:p>
          <w:p w:rsidR="00B248CA" w:rsidRPr="004228FD" w:rsidRDefault="00B248CA" w:rsidP="00715E70">
            <w:pPr>
              <w:spacing w:line="200" w:lineRule="exact"/>
              <w:jc w:val="center"/>
              <w:rPr>
                <w:rFonts w:cs="Calibri"/>
                <w:b/>
              </w:rPr>
            </w:pPr>
          </w:p>
          <w:p w:rsidR="00B248CA" w:rsidRPr="004228FD" w:rsidRDefault="00B248CA" w:rsidP="00715E70">
            <w:pPr>
              <w:spacing w:line="200" w:lineRule="exact"/>
              <w:jc w:val="center"/>
              <w:rPr>
                <w:rFonts w:cs="Calibri"/>
              </w:rPr>
            </w:pPr>
            <w:r>
              <w:rPr>
                <w:b/>
              </w:rPr>
              <w:t>Indicateur</w:t>
            </w:r>
          </w:p>
          <w:p w:rsidR="00B248CA" w:rsidRPr="004228FD" w:rsidRDefault="00B248CA" w:rsidP="00715E70">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b/>
              </w:rPr>
            </w:pPr>
            <w:r>
              <w:rPr>
                <w:b/>
              </w:rPr>
              <w:t>Non-conformité constatée</w:t>
            </w:r>
          </w:p>
        </w:tc>
        <w:tc>
          <w:tcPr>
            <w:tcW w:w="636"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rPr>
            </w:pPr>
            <w:r>
              <w:rPr>
                <w:b/>
              </w:rPr>
              <w:t>Exigence de conformité</w:t>
            </w:r>
          </w:p>
        </w:tc>
      </w:tr>
      <w:tr w:rsidR="00B248CA" w:rsidRPr="004228FD" w:rsidTr="00715E7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spacing w:before="48"/>
              <w:rPr>
                <w:rFonts w:cs="Calibri"/>
                <w:sz w:val="20"/>
                <w:szCs w:val="20"/>
              </w:rPr>
            </w:pPr>
          </w:p>
          <w:p w:rsidR="00B248CA" w:rsidRPr="004228FD" w:rsidRDefault="00B248CA" w:rsidP="00715E70">
            <w:pPr>
              <w:spacing w:before="48"/>
              <w:rPr>
                <w:rFonts w:cs="Calibri"/>
                <w:sz w:val="20"/>
                <w:szCs w:val="20"/>
              </w:rPr>
            </w:pPr>
            <w:r>
              <w:rPr>
                <w:sz w:val="20"/>
              </w:rPr>
              <w:t>68. Convention de service, inaptitude à fournir des soins</w:t>
            </w:r>
          </w:p>
          <w:p w:rsidR="00B248CA" w:rsidRPr="004228FD" w:rsidRDefault="00B248CA" w:rsidP="00715E70">
            <w:pPr>
              <w:spacing w:before="7" w:line="190" w:lineRule="exact"/>
              <w:rPr>
                <w:rFonts w:cs="Calibri"/>
                <w:sz w:val="20"/>
                <w:szCs w:val="20"/>
              </w:rPr>
            </w:pPr>
          </w:p>
          <w:p w:rsidR="00B248CA" w:rsidRDefault="00B248CA" w:rsidP="00715E70">
            <w:pPr>
              <w:rPr>
                <w:rFonts w:cs="Calibri"/>
                <w:sz w:val="20"/>
                <w:szCs w:val="20"/>
              </w:rPr>
            </w:pPr>
            <w:r>
              <w:rPr>
                <w:sz w:val="20"/>
              </w:rPr>
              <w:t>Les organismes de service doivent, pour chaque placement, signer avec la famille hôte une convention qui oblige la famille hôte à signaler lorsque le fournisseur principal de soins n’est plus capable de s’occuper de la personne placée.</w:t>
            </w:r>
          </w:p>
          <w:p w:rsidR="00B248CA" w:rsidRPr="004228FD" w:rsidRDefault="00B248CA" w:rsidP="00715E70">
            <w:pPr>
              <w:rPr>
                <w:rFonts w:cs="Calibri"/>
                <w:sz w:val="20"/>
                <w:szCs w:val="20"/>
              </w:rPr>
            </w:pPr>
          </w:p>
          <w:p w:rsidR="00B248CA" w:rsidRPr="004228FD" w:rsidRDefault="00B248CA" w:rsidP="00715E70">
            <w:pPr>
              <w:widowControl/>
              <w:rPr>
                <w:rFonts w:cs="Calibri"/>
                <w:sz w:val="16"/>
                <w:szCs w:val="16"/>
              </w:rPr>
            </w:pPr>
            <w:r>
              <w:rPr>
                <w:sz w:val="20"/>
              </w:rPr>
              <w:t>Directives en matière de politique s’appliquant aux organismes de service en ce qui a trait au Programme de placement en famille hôte 2.0</w:t>
            </w:r>
          </w:p>
          <w:p w:rsidR="00B248CA" w:rsidRPr="004228FD" w:rsidRDefault="00B248CA" w:rsidP="00715E70">
            <w:pPr>
              <w:rPr>
                <w:rFonts w:cs="Calibri"/>
                <w:sz w:val="20"/>
                <w:szCs w:val="20"/>
              </w:rPr>
            </w:pPr>
          </w:p>
          <w:p w:rsidR="00B248CA" w:rsidRPr="004228FD" w:rsidRDefault="00B248CA" w:rsidP="00715E70">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B248CA" w:rsidRPr="004228FD" w:rsidRDefault="00B248CA" w:rsidP="00715E70">
            <w:pPr>
              <w:rPr>
                <w:rFonts w:cs="Calibri"/>
                <w:sz w:val="20"/>
                <w:szCs w:val="20"/>
              </w:rPr>
            </w:pPr>
          </w:p>
          <w:p w:rsidR="00B248CA" w:rsidRDefault="00B248CA" w:rsidP="00715E70">
            <w:pPr>
              <w:rPr>
                <w:sz w:val="20"/>
                <w:szCs w:val="20"/>
              </w:rPr>
            </w:pPr>
            <w:r>
              <w:rPr>
                <w:sz w:val="20"/>
              </w:rPr>
              <w:t>Afin d’encourager une compréhension commune du placement en famille hôte, les organismes sont tenus de signer avec la famille hôte une convention qui décrit les attentes de l’organisme à l’égard de la famille hôte et les activités de soutien et de supervision réalisées par l’organisme.</w:t>
            </w:r>
          </w:p>
          <w:p w:rsidR="00B248CA"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r>
              <w:rPr>
                <w:sz w:val="20"/>
              </w:rPr>
              <w:t>La convention doit obliger la famille hôte à signaler à l’organisme lorsque le fournisseur principal de soins de la famille hôte n’est plus capable de s’occuper de la personne placée.</w:t>
            </w:r>
          </w:p>
          <w:p w:rsidR="00B248CA" w:rsidRPr="004228FD"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jc w:val="center"/>
              <w:rPr>
                <w:rFonts w:cs="Calibri"/>
                <w:sz w:val="20"/>
                <w:szCs w:val="20"/>
              </w:rPr>
            </w:pPr>
            <w:r>
              <w:rPr>
                <w:sz w:val="20"/>
              </w:rPr>
              <w:t>MODÉRÉ</w:t>
            </w:r>
          </w:p>
          <w:p w:rsidR="00B248CA" w:rsidRPr="004228FD" w:rsidRDefault="00B248CA" w:rsidP="00715E70">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B248CA"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asciiTheme="minorHAnsi" w:hAnsiTheme="minorHAnsi" w:cstheme="minorHAnsi"/>
                <w:sz w:val="20"/>
                <w:szCs w:val="20"/>
              </w:rPr>
            </w:pPr>
            <w:r>
              <w:rPr>
                <w:sz w:val="20"/>
              </w:rPr>
              <w:t>Convention de service</w:t>
            </w:r>
          </w:p>
          <w:p w:rsidR="00B248CA" w:rsidRPr="004228FD" w:rsidRDefault="00B248CA" w:rsidP="00715E70">
            <w:pPr>
              <w:autoSpaceDE w:val="0"/>
              <w:autoSpaceDN w:val="0"/>
              <w:adjustRightInd w:val="0"/>
              <w:rPr>
                <w:rFonts w:asciiTheme="minorHAnsi" w:hAnsiTheme="minorHAnsi" w:cstheme="minorHAnsi"/>
                <w:sz w:val="20"/>
                <w:szCs w:val="20"/>
              </w:rPr>
            </w:pPr>
          </w:p>
          <w:p w:rsidR="00B248CA" w:rsidRPr="004228FD" w:rsidRDefault="00B248CA" w:rsidP="00715E70">
            <w:pPr>
              <w:rPr>
                <w:rFonts w:asciiTheme="minorHAnsi" w:hAnsiTheme="minorHAnsi" w:cstheme="minorHAnsi"/>
                <w:sz w:val="20"/>
                <w:szCs w:val="20"/>
              </w:rPr>
            </w:pPr>
          </w:p>
          <w:p w:rsidR="00B248CA" w:rsidRPr="004228FD" w:rsidRDefault="00B248CA" w:rsidP="00715E70">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rPr>
                <w:rFonts w:cs="Calibri"/>
                <w:sz w:val="20"/>
                <w:szCs w:val="20"/>
              </w:rPr>
            </w:pPr>
            <w:r>
              <w:rPr>
                <w:sz w:val="20"/>
              </w:rPr>
              <w:t>La convention de service signée entre l’organisme de service et la famille hôte n’oblige pas la famille hôte à signaler lorsque le fournisseur principal de soins n’est plus capable de s’occuper de la personne placée.</w:t>
            </w:r>
          </w:p>
        </w:tc>
        <w:tc>
          <w:tcPr>
            <w:tcW w:w="636"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rPr>
                <w:rFonts w:cs="Calibri"/>
                <w:sz w:val="20"/>
                <w:szCs w:val="20"/>
              </w:rPr>
            </w:pPr>
            <w:r>
              <w:rPr>
                <w:sz w:val="20"/>
              </w:rPr>
              <w:t>Une lettre ou un document confirmant que la mesure corrective a été menée à bien.</w:t>
            </w:r>
          </w:p>
          <w:p w:rsidR="00B248CA" w:rsidRPr="004228FD" w:rsidRDefault="00B248CA" w:rsidP="00715E70">
            <w:pPr>
              <w:rPr>
                <w:rFonts w:cs="Calibri"/>
                <w:sz w:val="20"/>
                <w:szCs w:val="20"/>
              </w:rPr>
            </w:pPr>
          </w:p>
          <w:p w:rsidR="00B248CA" w:rsidRPr="004228FD" w:rsidRDefault="00B248CA" w:rsidP="00715E70">
            <w:pPr>
              <w:rPr>
                <w:rFonts w:cs="Calibri"/>
                <w:sz w:val="20"/>
                <w:szCs w:val="20"/>
              </w:rPr>
            </w:pPr>
          </w:p>
        </w:tc>
      </w:tr>
    </w:tbl>
    <w:p w:rsidR="00B248CA" w:rsidRPr="0081122E" w:rsidRDefault="00B248CA" w:rsidP="00B248CA">
      <w:pPr>
        <w:rPr>
          <w:rFonts w:cs="Calibri"/>
          <w:sz w:val="20"/>
          <w:szCs w:val="20"/>
        </w:rPr>
        <w:sectPr w:rsidR="00B248CA" w:rsidRPr="0081122E" w:rsidSect="00F26D23">
          <w:pgSz w:w="15840" w:h="12240" w:orient="landscape" w:code="1"/>
          <w:pgMar w:top="2200" w:right="480" w:bottom="420" w:left="500" w:header="600" w:footer="230" w:gutter="0"/>
          <w:cols w:space="720"/>
          <w:docGrid w:linePitch="299"/>
        </w:sectPr>
      </w:pPr>
    </w:p>
    <w:p w:rsidR="00B248CA" w:rsidRPr="0081122E" w:rsidRDefault="00B248CA" w:rsidP="00B248CA">
      <w:pPr>
        <w:spacing w:line="110" w:lineRule="exact"/>
        <w:rPr>
          <w:rFonts w:cs="Calibri"/>
          <w:sz w:val="20"/>
          <w:szCs w:val="20"/>
        </w:rPr>
      </w:pPr>
    </w:p>
    <w:p w:rsidR="00B248CA" w:rsidRPr="0081122E" w:rsidRDefault="00B248CA" w:rsidP="00B248CA">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B248CA" w:rsidRPr="004228FD" w:rsidTr="00715E70">
        <w:trPr>
          <w:trHeight w:val="960"/>
        </w:trPr>
        <w:tc>
          <w:tcPr>
            <w:tcW w:w="1185"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spacing w:before="8" w:line="180" w:lineRule="exact"/>
              <w:rPr>
                <w:rFonts w:cs="Calibri"/>
              </w:rPr>
            </w:pPr>
          </w:p>
          <w:p w:rsidR="00B248CA" w:rsidRPr="004228FD" w:rsidRDefault="00B248CA" w:rsidP="00715E70">
            <w:pPr>
              <w:keepNext/>
              <w:spacing w:before="240" w:after="60"/>
              <w:jc w:val="center"/>
              <w:outlineLvl w:val="0"/>
              <w:rPr>
                <w:rFonts w:asciiTheme="minorHAnsi" w:eastAsiaTheme="majorEastAsia" w:hAnsiTheme="minorHAnsi" w:cstheme="minorHAnsi"/>
                <w:bCs/>
                <w:kern w:val="32"/>
                <w:sz w:val="24"/>
                <w:szCs w:val="32"/>
              </w:rPr>
            </w:pPr>
            <w:r>
              <w:rPr>
                <w:rFonts w:asciiTheme="minorHAnsi" w:eastAsiaTheme="majorEastAsia" w:hAnsiTheme="minorHAnsi" w:cstheme="minorHAnsi"/>
                <w:b/>
                <w:kern w:val="32"/>
                <w:sz w:val="24"/>
              </w:rPr>
              <w:t>Dossiers et documents</w:t>
            </w:r>
          </w:p>
          <w:p w:rsidR="00B248CA" w:rsidRPr="004228FD" w:rsidRDefault="00B248CA" w:rsidP="00715E70">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rPr>
            </w:pPr>
            <w:r>
              <w:rPr>
                <w:b/>
              </w:rPr>
              <w:t>Risque</w:t>
            </w:r>
          </w:p>
        </w:tc>
        <w:tc>
          <w:tcPr>
            <w:tcW w:w="802"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spacing w:line="200" w:lineRule="exact"/>
              <w:jc w:val="center"/>
              <w:rPr>
                <w:rFonts w:cs="Calibri"/>
              </w:rPr>
            </w:pPr>
          </w:p>
          <w:p w:rsidR="00B248CA" w:rsidRPr="004228FD" w:rsidRDefault="00B248CA" w:rsidP="00715E70">
            <w:pPr>
              <w:spacing w:line="200" w:lineRule="exact"/>
              <w:jc w:val="center"/>
              <w:rPr>
                <w:rFonts w:cs="Calibri"/>
                <w:b/>
              </w:rPr>
            </w:pPr>
          </w:p>
          <w:p w:rsidR="00B248CA" w:rsidRPr="004228FD" w:rsidRDefault="00B248CA" w:rsidP="00715E70">
            <w:pPr>
              <w:spacing w:line="200" w:lineRule="exact"/>
              <w:jc w:val="center"/>
              <w:rPr>
                <w:rFonts w:cs="Calibri"/>
              </w:rPr>
            </w:pPr>
            <w:r>
              <w:rPr>
                <w:b/>
              </w:rPr>
              <w:t>Indicateur</w:t>
            </w:r>
          </w:p>
          <w:p w:rsidR="00B248CA" w:rsidRPr="004228FD" w:rsidRDefault="00B248CA" w:rsidP="00715E70">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b/>
              </w:rPr>
            </w:pPr>
            <w:r>
              <w:rPr>
                <w:b/>
              </w:rPr>
              <w:t>Non-conformité constatée</w:t>
            </w:r>
          </w:p>
        </w:tc>
        <w:tc>
          <w:tcPr>
            <w:tcW w:w="636"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rPr>
            </w:pPr>
            <w:r>
              <w:rPr>
                <w:b/>
              </w:rPr>
              <w:t>Exigence de conformité</w:t>
            </w:r>
          </w:p>
        </w:tc>
      </w:tr>
      <w:tr w:rsidR="00B248CA" w:rsidRPr="004228FD" w:rsidTr="00715E7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spacing w:before="48"/>
              <w:rPr>
                <w:rFonts w:cs="Calibri"/>
                <w:sz w:val="20"/>
                <w:szCs w:val="20"/>
              </w:rPr>
            </w:pPr>
          </w:p>
          <w:p w:rsidR="00B248CA" w:rsidRPr="004228FD" w:rsidRDefault="00B248CA" w:rsidP="00715E70">
            <w:pPr>
              <w:spacing w:before="48"/>
              <w:rPr>
                <w:rFonts w:cs="Calibri"/>
                <w:sz w:val="20"/>
                <w:szCs w:val="20"/>
              </w:rPr>
            </w:pPr>
            <w:r>
              <w:rPr>
                <w:sz w:val="20"/>
              </w:rPr>
              <w:t>69. Convention de service, préoccupations importantes</w:t>
            </w:r>
          </w:p>
          <w:p w:rsidR="00B248CA" w:rsidRPr="004228FD" w:rsidRDefault="00B248CA" w:rsidP="00715E70">
            <w:pPr>
              <w:spacing w:before="7" w:line="190" w:lineRule="exact"/>
              <w:rPr>
                <w:rFonts w:cs="Calibri"/>
                <w:sz w:val="20"/>
                <w:szCs w:val="20"/>
              </w:rPr>
            </w:pPr>
          </w:p>
          <w:p w:rsidR="00B248CA" w:rsidRDefault="00B248CA" w:rsidP="00715E70">
            <w:pPr>
              <w:widowControl/>
              <w:rPr>
                <w:rFonts w:cs="Calibri"/>
                <w:sz w:val="20"/>
                <w:szCs w:val="20"/>
              </w:rPr>
            </w:pPr>
            <w:r>
              <w:rPr>
                <w:sz w:val="20"/>
              </w:rPr>
              <w:t xml:space="preserve">Les organismes de service doivent, pour chaque placement, signer avec la famille hôte une convention qui oblige la famille hôte à signaler toute autre préoccupation importante susceptible d’avoir des répercussions sur la personne placée. </w:t>
            </w:r>
          </w:p>
          <w:p w:rsidR="00B248CA" w:rsidRDefault="00B248CA" w:rsidP="00715E70">
            <w:pPr>
              <w:widowControl/>
              <w:rPr>
                <w:rFonts w:cs="Calibri"/>
                <w:sz w:val="20"/>
                <w:szCs w:val="20"/>
              </w:rPr>
            </w:pPr>
          </w:p>
          <w:p w:rsidR="00B248CA" w:rsidRPr="004228FD" w:rsidRDefault="00B248CA" w:rsidP="00715E70">
            <w:pPr>
              <w:widowControl/>
              <w:rPr>
                <w:rFonts w:cs="Calibri"/>
                <w:sz w:val="16"/>
                <w:szCs w:val="16"/>
              </w:rPr>
            </w:pPr>
            <w:r>
              <w:rPr>
                <w:sz w:val="20"/>
              </w:rPr>
              <w:t>Directives en matière de politique s’appliquant aux organismes de service en ce qui a trait au Programme de placement en famille hôte 2.0</w:t>
            </w:r>
          </w:p>
          <w:p w:rsidR="00B248CA" w:rsidRPr="004228FD" w:rsidRDefault="00B248CA" w:rsidP="00715E70">
            <w:pPr>
              <w:rPr>
                <w:rFonts w:cs="Calibri"/>
                <w:sz w:val="20"/>
                <w:szCs w:val="20"/>
              </w:rPr>
            </w:pPr>
          </w:p>
          <w:p w:rsidR="00B248CA" w:rsidRPr="004228FD" w:rsidRDefault="00B248CA" w:rsidP="00715E70">
            <w:pPr>
              <w:rPr>
                <w:rFonts w:cs="Calibri"/>
                <w:sz w:val="20"/>
                <w:szCs w:val="20"/>
              </w:rPr>
            </w:pPr>
          </w:p>
          <w:p w:rsidR="00B248CA" w:rsidRPr="004228FD" w:rsidRDefault="00B248CA" w:rsidP="00715E70">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B248CA" w:rsidRPr="004228FD" w:rsidRDefault="00B248CA" w:rsidP="00715E70">
            <w:pPr>
              <w:autoSpaceDE w:val="0"/>
              <w:autoSpaceDN w:val="0"/>
              <w:adjustRightInd w:val="0"/>
              <w:rPr>
                <w:rFonts w:cs="Calibri"/>
                <w:sz w:val="20"/>
                <w:szCs w:val="20"/>
              </w:rPr>
            </w:pPr>
          </w:p>
          <w:p w:rsidR="00B248CA" w:rsidRDefault="00B248CA" w:rsidP="00715E70">
            <w:pPr>
              <w:rPr>
                <w:sz w:val="20"/>
                <w:szCs w:val="20"/>
              </w:rPr>
            </w:pPr>
            <w:r>
              <w:rPr>
                <w:sz w:val="20"/>
              </w:rPr>
              <w:t>Afin d’encourager une compréhension commune du placement en famille hôte, les organismes sont tenus de signer avec la famille hôte une convention qui décrit les attentes de l’organisme à l’égard de la famille hôte et les activités de soutien et de supervision réalisées par l’organisme.</w:t>
            </w:r>
          </w:p>
          <w:p w:rsidR="00B248CA"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r>
              <w:rPr>
                <w:sz w:val="20"/>
              </w:rPr>
              <w:t>La convention doit obliger la famille hôte à signaler à l’organisme toute préoccupation importante susceptible d’avoir des répercussions sur la personne placée.</w:t>
            </w:r>
          </w:p>
          <w:p w:rsidR="00B248CA" w:rsidRPr="004228FD"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jc w:val="center"/>
              <w:rPr>
                <w:rFonts w:cs="Calibri"/>
                <w:sz w:val="20"/>
                <w:szCs w:val="20"/>
              </w:rPr>
            </w:pPr>
            <w:r>
              <w:rPr>
                <w:sz w:val="20"/>
              </w:rPr>
              <w:t>MODÉRÉ</w:t>
            </w:r>
          </w:p>
          <w:p w:rsidR="00B248CA" w:rsidRPr="004228FD" w:rsidRDefault="00B248CA" w:rsidP="00715E70">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B248CA"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asciiTheme="minorHAnsi" w:hAnsiTheme="minorHAnsi" w:cstheme="minorHAnsi"/>
                <w:sz w:val="20"/>
                <w:szCs w:val="20"/>
              </w:rPr>
            </w:pPr>
            <w:r>
              <w:rPr>
                <w:sz w:val="20"/>
              </w:rPr>
              <w:t>Convention de service</w:t>
            </w:r>
          </w:p>
          <w:p w:rsidR="00B248CA" w:rsidRPr="004228FD" w:rsidRDefault="00B248CA" w:rsidP="00715E70">
            <w:pPr>
              <w:autoSpaceDE w:val="0"/>
              <w:autoSpaceDN w:val="0"/>
              <w:adjustRightInd w:val="0"/>
              <w:rPr>
                <w:rFonts w:asciiTheme="minorHAnsi" w:hAnsiTheme="minorHAnsi" w:cstheme="minorHAnsi"/>
                <w:sz w:val="20"/>
                <w:szCs w:val="20"/>
              </w:rPr>
            </w:pPr>
          </w:p>
          <w:p w:rsidR="00B248CA" w:rsidRPr="004228FD" w:rsidRDefault="00B248CA" w:rsidP="00715E70">
            <w:pPr>
              <w:autoSpaceDE w:val="0"/>
              <w:autoSpaceDN w:val="0"/>
              <w:adjustRightInd w:val="0"/>
              <w:rPr>
                <w:rFonts w:asciiTheme="minorHAnsi" w:hAnsiTheme="minorHAnsi" w:cstheme="minorHAnsi"/>
                <w:sz w:val="20"/>
                <w:szCs w:val="20"/>
              </w:rPr>
            </w:pPr>
          </w:p>
          <w:p w:rsidR="00B248CA" w:rsidRPr="004228FD" w:rsidRDefault="00B248CA" w:rsidP="00715E70">
            <w:pPr>
              <w:rPr>
                <w:rFonts w:asciiTheme="minorHAnsi" w:hAnsiTheme="minorHAnsi" w:cstheme="minorHAnsi"/>
                <w:sz w:val="20"/>
                <w:szCs w:val="20"/>
              </w:rPr>
            </w:pPr>
          </w:p>
          <w:p w:rsidR="00B248CA" w:rsidRPr="004228FD" w:rsidRDefault="00B248CA" w:rsidP="00715E70">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rPr>
                <w:rFonts w:cs="Calibri"/>
                <w:sz w:val="20"/>
                <w:szCs w:val="20"/>
              </w:rPr>
            </w:pPr>
            <w:r>
              <w:rPr>
                <w:sz w:val="20"/>
              </w:rPr>
              <w:t>La convention de service signée entre l’organisme de service et la famille hôte n’oblige pas la famille hôte à signaler toute autre préoccupation importante susceptible d’avoir des répercussions sur la personne placée.</w:t>
            </w:r>
          </w:p>
        </w:tc>
        <w:tc>
          <w:tcPr>
            <w:tcW w:w="636"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rPr>
                <w:rFonts w:cs="Calibri"/>
                <w:sz w:val="20"/>
                <w:szCs w:val="20"/>
              </w:rPr>
            </w:pPr>
            <w:r>
              <w:rPr>
                <w:sz w:val="20"/>
              </w:rPr>
              <w:t>Une lettre ou un document confirmant que la mesure corrective a été menée à bien.</w:t>
            </w:r>
          </w:p>
          <w:p w:rsidR="00B248CA" w:rsidRPr="004228FD" w:rsidRDefault="00B248CA" w:rsidP="00715E70">
            <w:pPr>
              <w:rPr>
                <w:rFonts w:cs="Calibri"/>
                <w:sz w:val="20"/>
                <w:szCs w:val="20"/>
              </w:rPr>
            </w:pPr>
          </w:p>
          <w:p w:rsidR="00B248CA" w:rsidRPr="004228FD" w:rsidRDefault="00B248CA" w:rsidP="00715E70">
            <w:pPr>
              <w:rPr>
                <w:rFonts w:cs="Calibri"/>
                <w:sz w:val="20"/>
                <w:szCs w:val="20"/>
              </w:rPr>
            </w:pPr>
          </w:p>
        </w:tc>
      </w:tr>
    </w:tbl>
    <w:p w:rsidR="00B248CA" w:rsidRPr="0081122E" w:rsidRDefault="00B248CA" w:rsidP="00B248CA">
      <w:pPr>
        <w:rPr>
          <w:rFonts w:cs="Calibri"/>
          <w:sz w:val="20"/>
          <w:szCs w:val="20"/>
        </w:rPr>
        <w:sectPr w:rsidR="00B248CA" w:rsidRPr="0081122E" w:rsidSect="00F26D23">
          <w:pgSz w:w="15840" w:h="12240" w:orient="landscape" w:code="1"/>
          <w:pgMar w:top="2200" w:right="480" w:bottom="420" w:left="500" w:header="600" w:footer="230" w:gutter="0"/>
          <w:cols w:space="720"/>
          <w:docGrid w:linePitch="299"/>
        </w:sectPr>
      </w:pPr>
    </w:p>
    <w:p w:rsidR="00B248CA" w:rsidRPr="0081122E" w:rsidRDefault="00B248CA" w:rsidP="00B248CA">
      <w:pPr>
        <w:spacing w:line="110" w:lineRule="exact"/>
        <w:rPr>
          <w:rFonts w:cs="Calibri"/>
          <w:sz w:val="20"/>
          <w:szCs w:val="20"/>
        </w:rPr>
      </w:pPr>
    </w:p>
    <w:p w:rsidR="00B248CA" w:rsidRPr="0081122E" w:rsidRDefault="00B248CA" w:rsidP="00B248CA">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B248CA" w:rsidRPr="004228FD" w:rsidTr="00715E70">
        <w:trPr>
          <w:trHeight w:val="960"/>
        </w:trPr>
        <w:tc>
          <w:tcPr>
            <w:tcW w:w="1185"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spacing w:before="8" w:line="180" w:lineRule="exact"/>
              <w:rPr>
                <w:rFonts w:cs="Calibri"/>
              </w:rPr>
            </w:pPr>
          </w:p>
          <w:p w:rsidR="00B248CA" w:rsidRPr="004228FD" w:rsidRDefault="00B248CA" w:rsidP="00715E70">
            <w:pPr>
              <w:keepNext/>
              <w:spacing w:before="240" w:after="60"/>
              <w:jc w:val="center"/>
              <w:outlineLvl w:val="0"/>
              <w:rPr>
                <w:rFonts w:asciiTheme="minorHAnsi" w:eastAsiaTheme="majorEastAsia" w:hAnsiTheme="minorHAnsi" w:cstheme="minorHAnsi"/>
                <w:bCs/>
                <w:kern w:val="32"/>
                <w:sz w:val="24"/>
                <w:szCs w:val="32"/>
              </w:rPr>
            </w:pPr>
            <w:r>
              <w:rPr>
                <w:rFonts w:asciiTheme="minorHAnsi" w:eastAsiaTheme="majorEastAsia" w:hAnsiTheme="minorHAnsi" w:cstheme="minorHAnsi"/>
                <w:b/>
                <w:kern w:val="32"/>
                <w:sz w:val="24"/>
              </w:rPr>
              <w:t>Dossiers et documents</w:t>
            </w:r>
          </w:p>
          <w:p w:rsidR="00B248CA" w:rsidRPr="004228FD" w:rsidRDefault="00B248CA" w:rsidP="00715E70">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rPr>
            </w:pPr>
            <w:r>
              <w:rPr>
                <w:b/>
              </w:rPr>
              <w:t>Risque</w:t>
            </w:r>
          </w:p>
        </w:tc>
        <w:tc>
          <w:tcPr>
            <w:tcW w:w="802"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spacing w:line="200" w:lineRule="exact"/>
              <w:jc w:val="center"/>
              <w:rPr>
                <w:rFonts w:cs="Calibri"/>
              </w:rPr>
            </w:pPr>
          </w:p>
          <w:p w:rsidR="00B248CA" w:rsidRPr="004228FD" w:rsidRDefault="00B248CA" w:rsidP="00715E70">
            <w:pPr>
              <w:spacing w:line="200" w:lineRule="exact"/>
              <w:jc w:val="center"/>
              <w:rPr>
                <w:rFonts w:cs="Calibri"/>
                <w:b/>
              </w:rPr>
            </w:pPr>
          </w:p>
          <w:p w:rsidR="00B248CA" w:rsidRPr="004228FD" w:rsidRDefault="00B248CA" w:rsidP="00715E70">
            <w:pPr>
              <w:spacing w:line="200" w:lineRule="exact"/>
              <w:jc w:val="center"/>
              <w:rPr>
                <w:rFonts w:cs="Calibri"/>
              </w:rPr>
            </w:pPr>
            <w:r>
              <w:rPr>
                <w:b/>
              </w:rPr>
              <w:t>Indicateur</w:t>
            </w:r>
          </w:p>
          <w:p w:rsidR="00B248CA" w:rsidRPr="004228FD" w:rsidRDefault="00B248CA" w:rsidP="00715E70">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b/>
              </w:rPr>
            </w:pPr>
            <w:r>
              <w:rPr>
                <w:b/>
              </w:rPr>
              <w:t>Non-conformité constatée</w:t>
            </w:r>
          </w:p>
        </w:tc>
        <w:tc>
          <w:tcPr>
            <w:tcW w:w="636"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rPr>
            </w:pPr>
            <w:r>
              <w:rPr>
                <w:b/>
              </w:rPr>
              <w:t>Exigence de conformité</w:t>
            </w:r>
          </w:p>
        </w:tc>
      </w:tr>
      <w:tr w:rsidR="00B248CA" w:rsidRPr="004228FD" w:rsidTr="00715E7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spacing w:before="48"/>
              <w:rPr>
                <w:rFonts w:cs="Calibri"/>
                <w:sz w:val="20"/>
                <w:szCs w:val="20"/>
              </w:rPr>
            </w:pPr>
          </w:p>
          <w:p w:rsidR="00B248CA" w:rsidRPr="004228FD" w:rsidRDefault="00B248CA" w:rsidP="00715E70">
            <w:pPr>
              <w:spacing w:before="48"/>
              <w:rPr>
                <w:rFonts w:cs="Calibri"/>
                <w:sz w:val="20"/>
                <w:szCs w:val="20"/>
              </w:rPr>
            </w:pPr>
            <w:r>
              <w:rPr>
                <w:sz w:val="20"/>
              </w:rPr>
              <w:t>70. Convention de service, rôles et responsabilités, milieu de vie sécuritaire</w:t>
            </w:r>
          </w:p>
          <w:p w:rsidR="00B248CA" w:rsidRPr="004228FD" w:rsidRDefault="00B248CA" w:rsidP="00715E70">
            <w:pPr>
              <w:spacing w:before="7" w:line="190" w:lineRule="exact"/>
              <w:rPr>
                <w:rFonts w:cs="Calibri"/>
                <w:sz w:val="20"/>
                <w:szCs w:val="20"/>
              </w:rPr>
            </w:pPr>
          </w:p>
          <w:p w:rsidR="00B248CA" w:rsidRDefault="00B248CA" w:rsidP="00715E70">
            <w:pPr>
              <w:widowControl/>
              <w:rPr>
                <w:rFonts w:cs="Calibri"/>
                <w:sz w:val="20"/>
                <w:szCs w:val="20"/>
              </w:rPr>
            </w:pPr>
            <w:r>
              <w:rPr>
                <w:sz w:val="20"/>
              </w:rPr>
              <w:t>Les organismes de service doivent, pour chaque placement, signer avec la famille hôte une convention qui aborde les rôles et les responsabilités de la famille hôte, notamment pour ce qui est de fournir un milieu de vie confortable et sécuritaire.</w:t>
            </w:r>
          </w:p>
          <w:p w:rsidR="00B248CA" w:rsidRDefault="00B248CA" w:rsidP="00715E70">
            <w:pPr>
              <w:widowControl/>
              <w:rPr>
                <w:rFonts w:cs="Calibri"/>
                <w:sz w:val="20"/>
                <w:szCs w:val="20"/>
              </w:rPr>
            </w:pPr>
          </w:p>
          <w:p w:rsidR="00B248CA" w:rsidRPr="004228FD" w:rsidRDefault="00B248CA" w:rsidP="00715E70">
            <w:pPr>
              <w:widowControl/>
              <w:rPr>
                <w:rFonts w:cs="Calibri"/>
                <w:sz w:val="16"/>
                <w:szCs w:val="16"/>
              </w:rPr>
            </w:pPr>
            <w:r>
              <w:rPr>
                <w:sz w:val="20"/>
              </w:rPr>
              <w:t>Directives en matière de politique s’appliquant aux organismes de service en ce qui a trait au Programme de placement en famille hôte 2.0</w:t>
            </w:r>
          </w:p>
          <w:p w:rsidR="00B248CA" w:rsidRPr="004228FD" w:rsidRDefault="00B248CA" w:rsidP="00715E70">
            <w:pPr>
              <w:rPr>
                <w:rFonts w:cs="Calibri"/>
                <w:sz w:val="20"/>
                <w:szCs w:val="20"/>
              </w:rPr>
            </w:pPr>
          </w:p>
          <w:p w:rsidR="00B248CA" w:rsidRPr="004228FD" w:rsidRDefault="00B248CA" w:rsidP="00715E70">
            <w:pPr>
              <w:rPr>
                <w:rFonts w:cs="Calibri"/>
                <w:sz w:val="20"/>
                <w:szCs w:val="20"/>
              </w:rPr>
            </w:pPr>
          </w:p>
          <w:p w:rsidR="00B248CA" w:rsidRPr="004228FD" w:rsidRDefault="00B248CA" w:rsidP="00715E70">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B248CA" w:rsidRPr="004228FD" w:rsidRDefault="00B248CA" w:rsidP="00715E70">
            <w:pPr>
              <w:rPr>
                <w:rFonts w:cs="Calibri"/>
                <w:sz w:val="20"/>
                <w:szCs w:val="20"/>
              </w:rPr>
            </w:pPr>
          </w:p>
          <w:p w:rsidR="00B248CA" w:rsidRDefault="00B248CA" w:rsidP="00715E70">
            <w:pPr>
              <w:rPr>
                <w:sz w:val="20"/>
                <w:szCs w:val="20"/>
              </w:rPr>
            </w:pPr>
            <w:r>
              <w:rPr>
                <w:sz w:val="20"/>
              </w:rPr>
              <w:t>Afin d’encourager une compréhension commune du placement en famille hôte, les organismes sont tenus de signer avec la famille hôte une convention qui décrit les attentes de l’organisme à l’égard de la famille hôte et les activités de soutien et de supervision réalisées par l’organisme.</w:t>
            </w:r>
          </w:p>
          <w:p w:rsidR="00B248CA" w:rsidRDefault="00B248CA" w:rsidP="00715E70">
            <w:pPr>
              <w:autoSpaceDE w:val="0"/>
              <w:autoSpaceDN w:val="0"/>
              <w:adjustRightInd w:val="0"/>
              <w:rPr>
                <w:rFonts w:cs="Calibri"/>
                <w:sz w:val="20"/>
                <w:szCs w:val="20"/>
              </w:rPr>
            </w:pPr>
          </w:p>
          <w:p w:rsidR="00B248CA"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r>
              <w:rPr>
                <w:sz w:val="20"/>
              </w:rPr>
              <w:t>La convention de service signée avec la famille hôte prévoit les rôles et les responsabilités de la famille hôte, notamment pour ce qui est de fournir un milieu de vie confortable et sécuritaire.</w:t>
            </w:r>
          </w:p>
          <w:p w:rsidR="00B248CA" w:rsidRPr="004228FD"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jc w:val="center"/>
              <w:rPr>
                <w:rFonts w:cs="Calibri"/>
                <w:sz w:val="20"/>
                <w:szCs w:val="20"/>
              </w:rPr>
            </w:pPr>
            <w:r>
              <w:rPr>
                <w:sz w:val="20"/>
              </w:rPr>
              <w:t>MODÉRÉ</w:t>
            </w:r>
          </w:p>
        </w:tc>
        <w:tc>
          <w:tcPr>
            <w:tcW w:w="802" w:type="pct"/>
            <w:tcBorders>
              <w:top w:val="single" w:sz="4" w:space="0" w:color="000000"/>
              <w:left w:val="single" w:sz="4" w:space="0" w:color="000000"/>
              <w:bottom w:val="single" w:sz="4" w:space="0" w:color="000000"/>
              <w:right w:val="single" w:sz="4" w:space="0" w:color="000000"/>
            </w:tcBorders>
          </w:tcPr>
          <w:p w:rsidR="00B248CA"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asciiTheme="minorHAnsi" w:hAnsiTheme="minorHAnsi" w:cstheme="minorHAnsi"/>
                <w:sz w:val="20"/>
                <w:szCs w:val="20"/>
              </w:rPr>
            </w:pPr>
            <w:r>
              <w:rPr>
                <w:sz w:val="20"/>
              </w:rPr>
              <w:t>Convention de service</w:t>
            </w:r>
          </w:p>
          <w:p w:rsidR="00B248CA" w:rsidRPr="004228FD" w:rsidRDefault="00B248CA" w:rsidP="00715E70">
            <w:pPr>
              <w:autoSpaceDE w:val="0"/>
              <w:autoSpaceDN w:val="0"/>
              <w:adjustRightInd w:val="0"/>
              <w:rPr>
                <w:rFonts w:asciiTheme="minorHAnsi" w:hAnsiTheme="minorHAnsi" w:cstheme="minorHAnsi"/>
                <w:sz w:val="20"/>
                <w:szCs w:val="20"/>
              </w:rPr>
            </w:pPr>
          </w:p>
          <w:p w:rsidR="00B248CA" w:rsidRPr="004228FD" w:rsidRDefault="00B248CA" w:rsidP="00715E70">
            <w:pPr>
              <w:rPr>
                <w:rFonts w:asciiTheme="minorHAnsi" w:hAnsiTheme="minorHAnsi" w:cstheme="minorHAnsi"/>
                <w:sz w:val="20"/>
                <w:szCs w:val="20"/>
              </w:rPr>
            </w:pPr>
          </w:p>
          <w:p w:rsidR="00B248CA" w:rsidRPr="004228FD" w:rsidRDefault="00B248CA" w:rsidP="00715E70">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rPr>
                <w:rFonts w:cs="Calibri"/>
                <w:sz w:val="20"/>
                <w:szCs w:val="20"/>
              </w:rPr>
            </w:pPr>
            <w:r>
              <w:rPr>
                <w:sz w:val="20"/>
              </w:rPr>
              <w:t>La convention de service signée entre l’organisme de service et la famille hôte ne prévoit pas les rôles et les responsabilités de la famille hôte, notamment pour ce qui est de fournir un milieu de vie confortable et sécuritaire.</w:t>
            </w:r>
          </w:p>
        </w:tc>
        <w:tc>
          <w:tcPr>
            <w:tcW w:w="636"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rPr>
                <w:rFonts w:cs="Calibri"/>
                <w:sz w:val="20"/>
                <w:szCs w:val="20"/>
              </w:rPr>
            </w:pPr>
            <w:r>
              <w:rPr>
                <w:sz w:val="20"/>
              </w:rPr>
              <w:t>Une lettre ou un document confirmant que la mesure corrective a été menée à bien.</w:t>
            </w:r>
          </w:p>
          <w:p w:rsidR="00B248CA" w:rsidRPr="004228FD" w:rsidRDefault="00B248CA" w:rsidP="00715E70">
            <w:pPr>
              <w:rPr>
                <w:rFonts w:cs="Calibri"/>
                <w:sz w:val="20"/>
                <w:szCs w:val="20"/>
              </w:rPr>
            </w:pPr>
          </w:p>
          <w:p w:rsidR="00B248CA" w:rsidRPr="004228FD" w:rsidRDefault="00B248CA" w:rsidP="00715E70">
            <w:pPr>
              <w:rPr>
                <w:rFonts w:cs="Calibri"/>
                <w:sz w:val="20"/>
                <w:szCs w:val="20"/>
              </w:rPr>
            </w:pPr>
          </w:p>
        </w:tc>
      </w:tr>
    </w:tbl>
    <w:p w:rsidR="00B248CA" w:rsidRPr="0081122E" w:rsidRDefault="00B248CA" w:rsidP="00B248CA">
      <w:pPr>
        <w:rPr>
          <w:rFonts w:cs="Calibri"/>
          <w:sz w:val="20"/>
          <w:szCs w:val="20"/>
        </w:rPr>
        <w:sectPr w:rsidR="00B248CA" w:rsidRPr="0081122E" w:rsidSect="00F26D23">
          <w:pgSz w:w="15840" w:h="12240" w:orient="landscape" w:code="1"/>
          <w:pgMar w:top="2200" w:right="480" w:bottom="420" w:left="500" w:header="600" w:footer="230" w:gutter="0"/>
          <w:cols w:space="720"/>
          <w:docGrid w:linePitch="299"/>
        </w:sectPr>
      </w:pPr>
    </w:p>
    <w:p w:rsidR="00B248CA" w:rsidRPr="0081122E" w:rsidRDefault="00B248CA" w:rsidP="00B248CA">
      <w:pPr>
        <w:spacing w:line="110" w:lineRule="exact"/>
        <w:rPr>
          <w:rFonts w:cs="Calibri"/>
          <w:sz w:val="20"/>
          <w:szCs w:val="20"/>
        </w:rPr>
      </w:pPr>
    </w:p>
    <w:p w:rsidR="00B248CA" w:rsidRPr="0081122E" w:rsidRDefault="00B248CA" w:rsidP="00B248CA">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B248CA" w:rsidRPr="004228FD" w:rsidTr="00715E70">
        <w:trPr>
          <w:trHeight w:val="960"/>
        </w:trPr>
        <w:tc>
          <w:tcPr>
            <w:tcW w:w="1185"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spacing w:before="8" w:line="180" w:lineRule="exact"/>
              <w:rPr>
                <w:rFonts w:cs="Calibri"/>
              </w:rPr>
            </w:pPr>
          </w:p>
          <w:p w:rsidR="00B248CA" w:rsidRPr="004228FD" w:rsidRDefault="00B248CA" w:rsidP="00715E70">
            <w:pPr>
              <w:keepNext/>
              <w:spacing w:before="240" w:after="60"/>
              <w:jc w:val="center"/>
              <w:outlineLvl w:val="0"/>
              <w:rPr>
                <w:rFonts w:asciiTheme="minorHAnsi" w:eastAsiaTheme="majorEastAsia" w:hAnsiTheme="minorHAnsi" w:cstheme="minorHAnsi"/>
                <w:bCs/>
                <w:kern w:val="32"/>
                <w:sz w:val="24"/>
                <w:szCs w:val="32"/>
              </w:rPr>
            </w:pPr>
            <w:r>
              <w:rPr>
                <w:rFonts w:asciiTheme="minorHAnsi" w:eastAsiaTheme="majorEastAsia" w:hAnsiTheme="minorHAnsi" w:cstheme="minorHAnsi"/>
                <w:b/>
                <w:kern w:val="32"/>
                <w:sz w:val="24"/>
              </w:rPr>
              <w:t>Dossiers et documents</w:t>
            </w:r>
          </w:p>
          <w:p w:rsidR="00B248CA" w:rsidRPr="004228FD" w:rsidRDefault="00B248CA" w:rsidP="00715E70">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rPr>
            </w:pPr>
            <w:r>
              <w:rPr>
                <w:b/>
              </w:rPr>
              <w:t>Risque</w:t>
            </w:r>
          </w:p>
        </w:tc>
        <w:tc>
          <w:tcPr>
            <w:tcW w:w="802"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spacing w:line="200" w:lineRule="exact"/>
              <w:jc w:val="center"/>
              <w:rPr>
                <w:rFonts w:cs="Calibri"/>
              </w:rPr>
            </w:pPr>
          </w:p>
          <w:p w:rsidR="00B248CA" w:rsidRPr="004228FD" w:rsidRDefault="00B248CA" w:rsidP="00715E70">
            <w:pPr>
              <w:spacing w:line="200" w:lineRule="exact"/>
              <w:jc w:val="center"/>
              <w:rPr>
                <w:rFonts w:cs="Calibri"/>
                <w:b/>
              </w:rPr>
            </w:pPr>
          </w:p>
          <w:p w:rsidR="00B248CA" w:rsidRPr="004228FD" w:rsidRDefault="00B248CA" w:rsidP="00715E70">
            <w:pPr>
              <w:spacing w:line="200" w:lineRule="exact"/>
              <w:jc w:val="center"/>
              <w:rPr>
                <w:rFonts w:cs="Calibri"/>
              </w:rPr>
            </w:pPr>
            <w:r>
              <w:rPr>
                <w:b/>
              </w:rPr>
              <w:t>Indicateur</w:t>
            </w:r>
          </w:p>
          <w:p w:rsidR="00B248CA" w:rsidRPr="004228FD" w:rsidRDefault="00B248CA" w:rsidP="00715E70">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b/>
              </w:rPr>
            </w:pPr>
            <w:r>
              <w:rPr>
                <w:b/>
              </w:rPr>
              <w:t>Non-conformité constatée</w:t>
            </w:r>
          </w:p>
        </w:tc>
        <w:tc>
          <w:tcPr>
            <w:tcW w:w="636"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rPr>
            </w:pPr>
            <w:r>
              <w:rPr>
                <w:b/>
              </w:rPr>
              <w:t>Exigence de conformité</w:t>
            </w:r>
          </w:p>
        </w:tc>
      </w:tr>
      <w:tr w:rsidR="00B248CA" w:rsidRPr="004228FD" w:rsidTr="00715E7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spacing w:before="48"/>
              <w:rPr>
                <w:rFonts w:cs="Calibri"/>
                <w:sz w:val="20"/>
                <w:szCs w:val="20"/>
              </w:rPr>
            </w:pPr>
          </w:p>
          <w:p w:rsidR="00B248CA" w:rsidRPr="004228FD" w:rsidRDefault="00B248CA" w:rsidP="00715E70">
            <w:pPr>
              <w:spacing w:before="48"/>
              <w:rPr>
                <w:rFonts w:cs="Calibri"/>
                <w:sz w:val="20"/>
                <w:szCs w:val="20"/>
              </w:rPr>
            </w:pPr>
            <w:r>
              <w:rPr>
                <w:sz w:val="20"/>
              </w:rPr>
              <w:t>71. Convention de service, autonomie</w:t>
            </w:r>
          </w:p>
          <w:p w:rsidR="00B248CA" w:rsidRPr="004228FD" w:rsidRDefault="00B248CA" w:rsidP="00715E70">
            <w:pPr>
              <w:spacing w:before="7" w:line="190" w:lineRule="exact"/>
              <w:rPr>
                <w:rFonts w:cs="Calibri"/>
                <w:sz w:val="20"/>
                <w:szCs w:val="20"/>
              </w:rPr>
            </w:pPr>
          </w:p>
          <w:p w:rsidR="00B248CA" w:rsidRDefault="00B248CA" w:rsidP="00715E70">
            <w:pPr>
              <w:widowControl/>
              <w:rPr>
                <w:rFonts w:cs="Calibri"/>
                <w:sz w:val="20"/>
                <w:szCs w:val="20"/>
              </w:rPr>
            </w:pPr>
            <w:r>
              <w:rPr>
                <w:sz w:val="20"/>
              </w:rPr>
              <w:t xml:space="preserve">Les organismes de service doivent, pour chaque placement, signer avec la famille hôte une convention qui aborde les rôles et les responsabilités de la famille hôte, notamment pour ce qui est d’encourager l’autonomie de la personne placée, sa dignité, son autodétermination, son inclusion sociale et sa participation </w:t>
            </w:r>
            <w:r w:rsidR="0070009E" w:rsidRPr="0070009E">
              <w:rPr>
                <w:sz w:val="20"/>
              </w:rPr>
              <w:t>communautaire</w:t>
            </w:r>
            <w:r>
              <w:rPr>
                <w:sz w:val="20"/>
              </w:rPr>
              <w:t>.</w:t>
            </w:r>
          </w:p>
          <w:p w:rsidR="00B248CA" w:rsidRDefault="00B248CA" w:rsidP="00715E70">
            <w:pPr>
              <w:widowControl/>
              <w:rPr>
                <w:rFonts w:cs="Calibri"/>
                <w:sz w:val="20"/>
                <w:szCs w:val="20"/>
              </w:rPr>
            </w:pPr>
          </w:p>
          <w:p w:rsidR="00B248CA" w:rsidRPr="004228FD" w:rsidRDefault="00B248CA" w:rsidP="00715E70">
            <w:pPr>
              <w:widowControl/>
              <w:rPr>
                <w:rFonts w:cs="Calibri"/>
                <w:sz w:val="16"/>
                <w:szCs w:val="16"/>
              </w:rPr>
            </w:pPr>
            <w:r>
              <w:rPr>
                <w:sz w:val="20"/>
              </w:rPr>
              <w:t>Directives en matière de politique s’appliquant aux organismes de service en ce qui a trait au Programme de placement en famille hôte 2.0</w:t>
            </w:r>
          </w:p>
          <w:p w:rsidR="00B248CA" w:rsidRPr="004228FD" w:rsidRDefault="00B248CA" w:rsidP="00715E70">
            <w:pPr>
              <w:rPr>
                <w:rFonts w:cs="Calibri"/>
                <w:sz w:val="20"/>
                <w:szCs w:val="20"/>
              </w:rPr>
            </w:pPr>
          </w:p>
          <w:p w:rsidR="00B248CA" w:rsidRPr="004228FD" w:rsidRDefault="00B248CA" w:rsidP="00715E70">
            <w:pPr>
              <w:rPr>
                <w:rFonts w:cs="Calibri"/>
                <w:sz w:val="20"/>
                <w:szCs w:val="20"/>
              </w:rPr>
            </w:pPr>
          </w:p>
          <w:p w:rsidR="00B248CA" w:rsidRPr="004228FD" w:rsidRDefault="00B248CA" w:rsidP="00715E70">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B248CA" w:rsidRPr="004228FD" w:rsidRDefault="00B248CA" w:rsidP="00715E70">
            <w:pPr>
              <w:rPr>
                <w:rFonts w:cs="Calibri"/>
                <w:sz w:val="20"/>
                <w:szCs w:val="20"/>
              </w:rPr>
            </w:pPr>
          </w:p>
          <w:p w:rsidR="00B248CA" w:rsidRDefault="00B248CA" w:rsidP="00715E70">
            <w:pPr>
              <w:rPr>
                <w:sz w:val="20"/>
                <w:szCs w:val="20"/>
              </w:rPr>
            </w:pPr>
            <w:r>
              <w:rPr>
                <w:sz w:val="20"/>
              </w:rPr>
              <w:t>Afin d’encourager une compréhension commune du placement en famille hôte, les organismes sont tenus de signer avec la famille hôte une convention qui décrit les attentes de l’organisme à l’égard de la famille hôte et les activités de soutien et de supervision réalisées par l’organisme.</w:t>
            </w:r>
          </w:p>
          <w:p w:rsidR="00B248CA" w:rsidRDefault="00B248CA" w:rsidP="00715E70">
            <w:pPr>
              <w:autoSpaceDE w:val="0"/>
              <w:autoSpaceDN w:val="0"/>
              <w:adjustRightInd w:val="0"/>
              <w:rPr>
                <w:rFonts w:cs="Calibri"/>
                <w:sz w:val="20"/>
                <w:szCs w:val="20"/>
              </w:rPr>
            </w:pPr>
          </w:p>
          <w:p w:rsidR="00B248CA" w:rsidRDefault="00B248CA" w:rsidP="00715E70">
            <w:pPr>
              <w:autoSpaceDE w:val="0"/>
              <w:autoSpaceDN w:val="0"/>
              <w:adjustRightInd w:val="0"/>
              <w:rPr>
                <w:rFonts w:cs="Calibri"/>
                <w:sz w:val="20"/>
                <w:szCs w:val="20"/>
              </w:rPr>
            </w:pPr>
          </w:p>
          <w:p w:rsidR="00B248CA" w:rsidRDefault="00B248CA" w:rsidP="00715E70">
            <w:pPr>
              <w:autoSpaceDE w:val="0"/>
              <w:autoSpaceDN w:val="0"/>
              <w:adjustRightInd w:val="0"/>
              <w:rPr>
                <w:rFonts w:cs="Calibri"/>
                <w:sz w:val="20"/>
                <w:szCs w:val="20"/>
              </w:rPr>
            </w:pPr>
            <w:r>
              <w:rPr>
                <w:sz w:val="20"/>
              </w:rPr>
              <w:t xml:space="preserve">La convention de service signée avec la famille hôte prévoit les rôles et les responsabilités de la famille hôte, notamment pour ce qui est d’encourager : </w:t>
            </w:r>
          </w:p>
          <w:p w:rsidR="00B248CA" w:rsidRPr="00AE6E45" w:rsidRDefault="00B248CA" w:rsidP="00715E70">
            <w:pPr>
              <w:pStyle w:val="ListParagraph"/>
              <w:numPr>
                <w:ilvl w:val="0"/>
                <w:numId w:val="17"/>
              </w:numPr>
              <w:autoSpaceDE w:val="0"/>
              <w:autoSpaceDN w:val="0"/>
              <w:adjustRightInd w:val="0"/>
              <w:rPr>
                <w:rFonts w:cs="Calibri"/>
                <w:sz w:val="20"/>
                <w:szCs w:val="20"/>
              </w:rPr>
            </w:pPr>
            <w:r>
              <w:rPr>
                <w:sz w:val="20"/>
              </w:rPr>
              <w:t>l’autonomie de la personne placée;</w:t>
            </w:r>
          </w:p>
          <w:p w:rsidR="00B248CA" w:rsidRPr="00405558" w:rsidRDefault="00B248CA" w:rsidP="00715E70">
            <w:pPr>
              <w:pStyle w:val="ListParagraph"/>
              <w:numPr>
                <w:ilvl w:val="0"/>
                <w:numId w:val="16"/>
              </w:numPr>
              <w:autoSpaceDE w:val="0"/>
              <w:autoSpaceDN w:val="0"/>
              <w:adjustRightInd w:val="0"/>
              <w:rPr>
                <w:rFonts w:cs="Calibri"/>
                <w:sz w:val="20"/>
                <w:szCs w:val="20"/>
              </w:rPr>
            </w:pPr>
            <w:r>
              <w:rPr>
                <w:sz w:val="20"/>
              </w:rPr>
              <w:t>sa dignité;</w:t>
            </w:r>
          </w:p>
          <w:p w:rsidR="00B248CA" w:rsidRPr="00405558" w:rsidRDefault="00B248CA" w:rsidP="00715E70">
            <w:pPr>
              <w:pStyle w:val="ListParagraph"/>
              <w:numPr>
                <w:ilvl w:val="0"/>
                <w:numId w:val="16"/>
              </w:numPr>
              <w:autoSpaceDE w:val="0"/>
              <w:autoSpaceDN w:val="0"/>
              <w:adjustRightInd w:val="0"/>
              <w:rPr>
                <w:rFonts w:cs="Calibri"/>
                <w:sz w:val="20"/>
                <w:szCs w:val="20"/>
              </w:rPr>
            </w:pPr>
            <w:r>
              <w:rPr>
                <w:sz w:val="20"/>
              </w:rPr>
              <w:t>son autodétermination;</w:t>
            </w:r>
          </w:p>
          <w:p w:rsidR="00B248CA" w:rsidRPr="00405558" w:rsidRDefault="00B248CA" w:rsidP="00715E70">
            <w:pPr>
              <w:pStyle w:val="ListParagraph"/>
              <w:numPr>
                <w:ilvl w:val="0"/>
                <w:numId w:val="16"/>
              </w:numPr>
              <w:autoSpaceDE w:val="0"/>
              <w:autoSpaceDN w:val="0"/>
              <w:adjustRightInd w:val="0"/>
              <w:rPr>
                <w:rFonts w:cs="Calibri"/>
                <w:sz w:val="20"/>
                <w:szCs w:val="20"/>
              </w:rPr>
            </w:pPr>
            <w:r>
              <w:rPr>
                <w:sz w:val="20"/>
              </w:rPr>
              <w:t>son inclusion sociale;</w:t>
            </w:r>
          </w:p>
          <w:p w:rsidR="00B248CA" w:rsidRPr="00405558" w:rsidRDefault="00B248CA" w:rsidP="0070009E">
            <w:pPr>
              <w:pStyle w:val="ListParagraph"/>
              <w:numPr>
                <w:ilvl w:val="0"/>
                <w:numId w:val="16"/>
              </w:numPr>
              <w:autoSpaceDE w:val="0"/>
              <w:autoSpaceDN w:val="0"/>
              <w:adjustRightInd w:val="0"/>
              <w:rPr>
                <w:rFonts w:cs="Calibri"/>
                <w:sz w:val="20"/>
                <w:szCs w:val="20"/>
              </w:rPr>
            </w:pPr>
            <w:r>
              <w:rPr>
                <w:sz w:val="20"/>
              </w:rPr>
              <w:t xml:space="preserve">sa participation </w:t>
            </w:r>
            <w:r w:rsidR="0070009E" w:rsidRPr="0070009E">
              <w:rPr>
                <w:sz w:val="20"/>
              </w:rPr>
              <w:t>communautaire</w:t>
            </w:r>
            <w:r>
              <w:rPr>
                <w:sz w:val="20"/>
              </w:rPr>
              <w:t>.</w:t>
            </w:r>
          </w:p>
          <w:p w:rsidR="00B248CA" w:rsidRPr="004228FD"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jc w:val="center"/>
              <w:rPr>
                <w:rFonts w:cs="Calibri"/>
                <w:sz w:val="20"/>
                <w:szCs w:val="20"/>
              </w:rPr>
            </w:pPr>
            <w:r>
              <w:rPr>
                <w:sz w:val="20"/>
              </w:rPr>
              <w:t>MODÉRÉ</w:t>
            </w:r>
          </w:p>
          <w:p w:rsidR="00B248CA" w:rsidRPr="004228FD" w:rsidRDefault="00B248CA" w:rsidP="00715E70">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B248CA"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asciiTheme="minorHAnsi" w:hAnsiTheme="minorHAnsi" w:cstheme="minorHAnsi"/>
                <w:sz w:val="20"/>
                <w:szCs w:val="20"/>
              </w:rPr>
            </w:pPr>
            <w:r>
              <w:rPr>
                <w:sz w:val="20"/>
              </w:rPr>
              <w:t>Convention de service</w:t>
            </w:r>
          </w:p>
          <w:p w:rsidR="00B248CA" w:rsidRPr="004228FD" w:rsidRDefault="00B248CA" w:rsidP="00715E70">
            <w:pPr>
              <w:autoSpaceDE w:val="0"/>
              <w:autoSpaceDN w:val="0"/>
              <w:adjustRightInd w:val="0"/>
              <w:rPr>
                <w:rFonts w:asciiTheme="minorHAnsi" w:hAnsiTheme="minorHAnsi" w:cstheme="minorHAnsi"/>
                <w:sz w:val="20"/>
                <w:szCs w:val="20"/>
              </w:rPr>
            </w:pPr>
          </w:p>
          <w:p w:rsidR="00B248CA" w:rsidRPr="004228FD" w:rsidRDefault="00B248CA" w:rsidP="00715E70">
            <w:pPr>
              <w:autoSpaceDE w:val="0"/>
              <w:autoSpaceDN w:val="0"/>
              <w:adjustRightInd w:val="0"/>
              <w:rPr>
                <w:rFonts w:asciiTheme="minorHAnsi" w:hAnsiTheme="minorHAnsi" w:cstheme="minorHAnsi"/>
                <w:sz w:val="20"/>
                <w:szCs w:val="20"/>
              </w:rPr>
            </w:pPr>
          </w:p>
          <w:p w:rsidR="00B248CA" w:rsidRPr="004228FD" w:rsidRDefault="00B248CA" w:rsidP="00715E70">
            <w:pPr>
              <w:rPr>
                <w:rFonts w:asciiTheme="minorHAnsi" w:hAnsiTheme="minorHAnsi" w:cstheme="minorHAnsi"/>
                <w:sz w:val="20"/>
                <w:szCs w:val="20"/>
              </w:rPr>
            </w:pPr>
          </w:p>
          <w:p w:rsidR="00B248CA" w:rsidRPr="004228FD" w:rsidRDefault="00B248CA" w:rsidP="00715E70">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rPr>
                <w:rFonts w:cs="Calibri"/>
                <w:sz w:val="20"/>
                <w:szCs w:val="20"/>
              </w:rPr>
            </w:pPr>
            <w:r>
              <w:rPr>
                <w:sz w:val="20"/>
              </w:rPr>
              <w:t xml:space="preserve">La convention de service signée entre l’organisme de service et la famille hôte n’aborde pas les rôles et les responsabilités de la famille hôte, notamment pour ce qui est d’encourager l’autonomie de la personne placée, sa dignité, son autodétermination, son inclusion sociale et sa participation </w:t>
            </w:r>
            <w:r w:rsidR="0070009E" w:rsidRPr="0070009E">
              <w:rPr>
                <w:sz w:val="20"/>
              </w:rPr>
              <w:t>communautaire</w:t>
            </w:r>
            <w:r>
              <w:rPr>
                <w:sz w:val="20"/>
              </w:rPr>
              <w:t xml:space="preserve">. </w:t>
            </w:r>
          </w:p>
        </w:tc>
        <w:tc>
          <w:tcPr>
            <w:tcW w:w="636"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rPr>
                <w:rFonts w:cs="Calibri"/>
                <w:sz w:val="20"/>
                <w:szCs w:val="20"/>
              </w:rPr>
            </w:pPr>
            <w:r>
              <w:rPr>
                <w:sz w:val="20"/>
              </w:rPr>
              <w:t>Une lettre ou un document confirmant que la mesure corrective a été menée à bien.</w:t>
            </w:r>
          </w:p>
          <w:p w:rsidR="00B248CA" w:rsidRPr="004228FD" w:rsidRDefault="00B248CA" w:rsidP="00715E70">
            <w:pPr>
              <w:rPr>
                <w:rFonts w:cs="Calibri"/>
                <w:sz w:val="20"/>
                <w:szCs w:val="20"/>
              </w:rPr>
            </w:pPr>
          </w:p>
          <w:p w:rsidR="00B248CA" w:rsidRPr="004228FD" w:rsidRDefault="00B248CA" w:rsidP="00715E70">
            <w:pPr>
              <w:rPr>
                <w:rFonts w:cs="Calibri"/>
                <w:sz w:val="20"/>
                <w:szCs w:val="20"/>
              </w:rPr>
            </w:pPr>
          </w:p>
        </w:tc>
      </w:tr>
    </w:tbl>
    <w:p w:rsidR="00B248CA" w:rsidRPr="0081122E" w:rsidRDefault="00B248CA" w:rsidP="00B248CA">
      <w:pPr>
        <w:rPr>
          <w:rFonts w:cs="Calibri"/>
          <w:sz w:val="20"/>
          <w:szCs w:val="20"/>
        </w:rPr>
        <w:sectPr w:rsidR="00B248CA" w:rsidRPr="0081122E" w:rsidSect="00F26D23">
          <w:pgSz w:w="15840" w:h="12240" w:orient="landscape" w:code="1"/>
          <w:pgMar w:top="2200" w:right="480" w:bottom="420" w:left="500" w:header="600" w:footer="230" w:gutter="0"/>
          <w:cols w:space="720"/>
          <w:docGrid w:linePitch="299"/>
        </w:sectPr>
      </w:pPr>
    </w:p>
    <w:p w:rsidR="00B248CA" w:rsidRPr="0081122E" w:rsidRDefault="00B248CA" w:rsidP="00B248CA">
      <w:pPr>
        <w:spacing w:line="110" w:lineRule="exact"/>
        <w:rPr>
          <w:rFonts w:cs="Calibri"/>
          <w:sz w:val="20"/>
          <w:szCs w:val="20"/>
        </w:rPr>
      </w:pPr>
    </w:p>
    <w:p w:rsidR="00B248CA" w:rsidRPr="0081122E" w:rsidRDefault="00B248CA" w:rsidP="00B248CA">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B248CA" w:rsidRPr="004228FD" w:rsidTr="00715E70">
        <w:trPr>
          <w:trHeight w:val="960"/>
        </w:trPr>
        <w:tc>
          <w:tcPr>
            <w:tcW w:w="1185"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spacing w:before="8" w:line="180" w:lineRule="exact"/>
              <w:rPr>
                <w:rFonts w:cs="Calibri"/>
              </w:rPr>
            </w:pPr>
          </w:p>
          <w:p w:rsidR="00B248CA" w:rsidRPr="004228FD" w:rsidRDefault="00B248CA" w:rsidP="00715E70">
            <w:pPr>
              <w:keepNext/>
              <w:spacing w:before="240" w:after="60"/>
              <w:jc w:val="center"/>
              <w:outlineLvl w:val="0"/>
              <w:rPr>
                <w:rFonts w:asciiTheme="minorHAnsi" w:eastAsiaTheme="majorEastAsia" w:hAnsiTheme="minorHAnsi" w:cstheme="minorHAnsi"/>
                <w:bCs/>
                <w:kern w:val="32"/>
                <w:sz w:val="24"/>
                <w:szCs w:val="32"/>
              </w:rPr>
            </w:pPr>
            <w:r>
              <w:rPr>
                <w:rFonts w:asciiTheme="minorHAnsi" w:eastAsiaTheme="majorEastAsia" w:hAnsiTheme="minorHAnsi" w:cstheme="minorHAnsi"/>
                <w:b/>
                <w:kern w:val="32"/>
                <w:sz w:val="24"/>
              </w:rPr>
              <w:t>Dossiers et documents</w:t>
            </w:r>
          </w:p>
          <w:p w:rsidR="00B248CA" w:rsidRPr="004228FD" w:rsidRDefault="00B248CA" w:rsidP="00715E70">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rPr>
            </w:pPr>
            <w:r>
              <w:rPr>
                <w:b/>
              </w:rPr>
              <w:t>Risque</w:t>
            </w:r>
          </w:p>
        </w:tc>
        <w:tc>
          <w:tcPr>
            <w:tcW w:w="802"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spacing w:line="200" w:lineRule="exact"/>
              <w:jc w:val="center"/>
              <w:rPr>
                <w:rFonts w:cs="Calibri"/>
              </w:rPr>
            </w:pPr>
          </w:p>
          <w:p w:rsidR="00B248CA" w:rsidRPr="004228FD" w:rsidRDefault="00B248CA" w:rsidP="00715E70">
            <w:pPr>
              <w:spacing w:line="200" w:lineRule="exact"/>
              <w:jc w:val="center"/>
              <w:rPr>
                <w:rFonts w:cs="Calibri"/>
                <w:b/>
              </w:rPr>
            </w:pPr>
          </w:p>
          <w:p w:rsidR="00B248CA" w:rsidRPr="004228FD" w:rsidRDefault="00B248CA" w:rsidP="00715E70">
            <w:pPr>
              <w:spacing w:line="200" w:lineRule="exact"/>
              <w:jc w:val="center"/>
              <w:rPr>
                <w:rFonts w:cs="Calibri"/>
              </w:rPr>
            </w:pPr>
            <w:r>
              <w:rPr>
                <w:b/>
              </w:rPr>
              <w:t>Indicateur</w:t>
            </w:r>
          </w:p>
          <w:p w:rsidR="00B248CA" w:rsidRPr="004228FD" w:rsidRDefault="00B248CA" w:rsidP="00715E70">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b/>
              </w:rPr>
            </w:pPr>
            <w:r>
              <w:rPr>
                <w:b/>
              </w:rPr>
              <w:t>Non-conformité constatée</w:t>
            </w:r>
          </w:p>
        </w:tc>
        <w:tc>
          <w:tcPr>
            <w:tcW w:w="636"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rPr>
            </w:pPr>
            <w:r>
              <w:rPr>
                <w:b/>
              </w:rPr>
              <w:t>Exigence de conformité</w:t>
            </w:r>
          </w:p>
        </w:tc>
      </w:tr>
      <w:tr w:rsidR="00B248CA" w:rsidRPr="004228FD" w:rsidTr="00715E7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spacing w:before="48"/>
              <w:rPr>
                <w:rFonts w:cs="Calibri"/>
                <w:sz w:val="20"/>
                <w:szCs w:val="20"/>
              </w:rPr>
            </w:pPr>
          </w:p>
          <w:p w:rsidR="00B248CA" w:rsidRPr="000A47C4" w:rsidRDefault="00B248CA" w:rsidP="00715E70">
            <w:pPr>
              <w:spacing w:before="48"/>
              <w:rPr>
                <w:rFonts w:cs="Calibri"/>
                <w:sz w:val="20"/>
                <w:szCs w:val="20"/>
              </w:rPr>
            </w:pPr>
            <w:r>
              <w:rPr>
                <w:sz w:val="20"/>
              </w:rPr>
              <w:t>72. Convention de service, besoins essentiels</w:t>
            </w:r>
          </w:p>
          <w:p w:rsidR="00B248CA" w:rsidRPr="000A47C4" w:rsidRDefault="00B248CA" w:rsidP="00715E70">
            <w:pPr>
              <w:spacing w:before="7" w:line="190" w:lineRule="exact"/>
              <w:rPr>
                <w:rFonts w:cs="Calibri"/>
                <w:sz w:val="20"/>
                <w:szCs w:val="20"/>
              </w:rPr>
            </w:pPr>
          </w:p>
          <w:p w:rsidR="00B248CA" w:rsidRDefault="00B248CA" w:rsidP="00715E70">
            <w:pPr>
              <w:rPr>
                <w:rFonts w:cs="Calibri"/>
                <w:color w:val="000000"/>
                <w:sz w:val="20"/>
                <w:szCs w:val="20"/>
              </w:rPr>
            </w:pPr>
            <w:r>
              <w:rPr>
                <w:color w:val="000000"/>
                <w:sz w:val="20"/>
              </w:rPr>
              <w:t xml:space="preserve">Les organismes de service doivent, pour chaque placement, signer avec la famille hôte une convention qui aborde les rôles et les responsabilités de la famille hôte, notamment pour ce qui est d’aider la personne placée à s’occuper de sa santé, à combler ses besoins essentiels et à vaquer à ses activités courantes. </w:t>
            </w:r>
          </w:p>
          <w:p w:rsidR="00B248CA" w:rsidRPr="000A47C4" w:rsidRDefault="00B248CA" w:rsidP="00715E70">
            <w:pPr>
              <w:rPr>
                <w:rFonts w:cs="Calibri"/>
                <w:color w:val="000000"/>
                <w:sz w:val="20"/>
                <w:szCs w:val="20"/>
              </w:rPr>
            </w:pPr>
          </w:p>
          <w:p w:rsidR="00B248CA" w:rsidRPr="000A47C4" w:rsidRDefault="00B248CA" w:rsidP="00715E70">
            <w:pPr>
              <w:rPr>
                <w:rFonts w:cs="Calibri"/>
                <w:color w:val="000000"/>
                <w:sz w:val="20"/>
                <w:szCs w:val="20"/>
              </w:rPr>
            </w:pPr>
            <w:r>
              <w:rPr>
                <w:color w:val="000000"/>
                <w:sz w:val="20"/>
              </w:rPr>
              <w:t>Directives en matière de politique s’appliquant aux organismes de service en ce qui a trait au Programme de placement en famille hôte 2.0</w:t>
            </w:r>
          </w:p>
          <w:p w:rsidR="00B248CA" w:rsidRPr="000A47C4" w:rsidRDefault="00B248CA" w:rsidP="00715E70">
            <w:pPr>
              <w:widowControl/>
              <w:rPr>
                <w:rFonts w:cs="Calibri"/>
                <w:sz w:val="20"/>
                <w:szCs w:val="20"/>
              </w:rPr>
            </w:pPr>
          </w:p>
          <w:p w:rsidR="00B248CA" w:rsidRPr="004228FD" w:rsidRDefault="00B248CA" w:rsidP="00715E70">
            <w:pPr>
              <w:rPr>
                <w:rFonts w:cs="Calibri"/>
                <w:sz w:val="20"/>
                <w:szCs w:val="20"/>
              </w:rPr>
            </w:pPr>
          </w:p>
          <w:p w:rsidR="00B248CA" w:rsidRPr="004228FD" w:rsidRDefault="00B248CA" w:rsidP="00715E70">
            <w:pPr>
              <w:rPr>
                <w:rFonts w:cs="Calibri"/>
                <w:sz w:val="20"/>
                <w:szCs w:val="20"/>
              </w:rPr>
            </w:pPr>
          </w:p>
          <w:p w:rsidR="00B248CA" w:rsidRPr="004228FD" w:rsidRDefault="00B248CA" w:rsidP="00715E70">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B248CA" w:rsidRPr="004228FD" w:rsidRDefault="00B248CA" w:rsidP="00715E70">
            <w:pPr>
              <w:autoSpaceDE w:val="0"/>
              <w:autoSpaceDN w:val="0"/>
              <w:adjustRightInd w:val="0"/>
              <w:rPr>
                <w:rFonts w:asciiTheme="minorHAnsi" w:hAnsiTheme="minorHAnsi" w:cstheme="minorHAnsi"/>
                <w:sz w:val="20"/>
                <w:szCs w:val="20"/>
              </w:rPr>
            </w:pPr>
            <w:r>
              <w:rPr>
                <w:sz w:val="20"/>
              </w:rPr>
              <w:t xml:space="preserve"> </w:t>
            </w:r>
          </w:p>
          <w:p w:rsidR="00B248CA" w:rsidRDefault="00B248CA" w:rsidP="00715E70">
            <w:pPr>
              <w:rPr>
                <w:sz w:val="20"/>
                <w:szCs w:val="20"/>
              </w:rPr>
            </w:pPr>
            <w:r>
              <w:rPr>
                <w:sz w:val="20"/>
              </w:rPr>
              <w:t>Afin d’encourager une compréhension commune du placement en famille hôte, les organismes sont tenus de signer avec la famille hôte une convention qui décrit les attentes de l’organisme à l’égard de la famille hôte et les activités de soutien et de supervision réalisées par l’organisme.</w:t>
            </w:r>
          </w:p>
          <w:p w:rsidR="00B248CA"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r>
              <w:rPr>
                <w:sz w:val="20"/>
              </w:rPr>
              <w:t>La convention de service prévoit que la famille hôte aide la personne placée à s’occuper de sa santé, à combler ses besoins essentiels et à vaquer à ses activités courantes.</w:t>
            </w:r>
          </w:p>
          <w:p w:rsidR="00B248CA" w:rsidRPr="004228FD"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jc w:val="center"/>
              <w:rPr>
                <w:rFonts w:cs="Calibri"/>
                <w:sz w:val="20"/>
                <w:szCs w:val="20"/>
              </w:rPr>
            </w:pPr>
            <w:r>
              <w:rPr>
                <w:sz w:val="20"/>
              </w:rPr>
              <w:t>MODÉRÉ</w:t>
            </w:r>
          </w:p>
        </w:tc>
        <w:tc>
          <w:tcPr>
            <w:tcW w:w="802" w:type="pct"/>
            <w:tcBorders>
              <w:top w:val="single" w:sz="4" w:space="0" w:color="000000"/>
              <w:left w:val="single" w:sz="4" w:space="0" w:color="000000"/>
              <w:bottom w:val="single" w:sz="4" w:space="0" w:color="000000"/>
              <w:right w:val="single" w:sz="4" w:space="0" w:color="000000"/>
            </w:tcBorders>
          </w:tcPr>
          <w:p w:rsidR="00B248CA" w:rsidRDefault="00B248CA" w:rsidP="00715E70">
            <w:pPr>
              <w:autoSpaceDE w:val="0"/>
              <w:autoSpaceDN w:val="0"/>
              <w:adjustRightInd w:val="0"/>
              <w:rPr>
                <w:rFonts w:cs="Calibri"/>
                <w:sz w:val="20"/>
                <w:szCs w:val="20"/>
              </w:rPr>
            </w:pPr>
          </w:p>
          <w:p w:rsidR="00B248CA" w:rsidRPr="000A47C4" w:rsidRDefault="00B248CA" w:rsidP="00715E70">
            <w:pPr>
              <w:autoSpaceDE w:val="0"/>
              <w:autoSpaceDN w:val="0"/>
              <w:adjustRightInd w:val="0"/>
              <w:rPr>
                <w:rFonts w:asciiTheme="minorHAnsi" w:hAnsiTheme="minorHAnsi" w:cstheme="minorHAnsi"/>
                <w:sz w:val="20"/>
                <w:szCs w:val="20"/>
              </w:rPr>
            </w:pPr>
            <w:r>
              <w:rPr>
                <w:sz w:val="20"/>
              </w:rPr>
              <w:t>Convention de service</w:t>
            </w:r>
          </w:p>
          <w:p w:rsidR="00B248CA" w:rsidRPr="004228FD" w:rsidRDefault="00B248CA" w:rsidP="00715E70">
            <w:pPr>
              <w:rPr>
                <w:rFonts w:asciiTheme="minorHAnsi" w:hAnsiTheme="minorHAnsi" w:cstheme="minorHAnsi"/>
                <w:sz w:val="20"/>
                <w:szCs w:val="20"/>
              </w:rPr>
            </w:pPr>
          </w:p>
          <w:p w:rsidR="00B248CA" w:rsidRPr="004228FD" w:rsidRDefault="00B248CA" w:rsidP="00715E70">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rPr>
                <w:rFonts w:cs="Calibri"/>
                <w:sz w:val="20"/>
                <w:szCs w:val="20"/>
              </w:rPr>
            </w:pPr>
            <w:r>
              <w:rPr>
                <w:sz w:val="20"/>
              </w:rPr>
              <w:t xml:space="preserve">La convention de service signée entre l’organisme de service et la famille hôte ne prévoit pas </w:t>
            </w:r>
            <w:r w:rsidR="0070009E">
              <w:rPr>
                <w:sz w:val="20"/>
              </w:rPr>
              <w:t xml:space="preserve">le fait </w:t>
            </w:r>
            <w:r>
              <w:rPr>
                <w:sz w:val="20"/>
              </w:rPr>
              <w:t xml:space="preserve">d’aider la personne placée à s’occuper de sa santé, à combler ses besoins essentiels et à vaquer à ses activités courantes. </w:t>
            </w:r>
          </w:p>
        </w:tc>
        <w:tc>
          <w:tcPr>
            <w:tcW w:w="636"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rPr>
                <w:rFonts w:cs="Calibri"/>
                <w:sz w:val="20"/>
                <w:szCs w:val="20"/>
              </w:rPr>
            </w:pPr>
            <w:r>
              <w:rPr>
                <w:sz w:val="20"/>
              </w:rPr>
              <w:t>Une lettre ou un document confirmant que la mesure corrective a été menée à bien.</w:t>
            </w:r>
          </w:p>
          <w:p w:rsidR="00B248CA" w:rsidRPr="004228FD" w:rsidRDefault="00B248CA" w:rsidP="00715E70">
            <w:pPr>
              <w:rPr>
                <w:rFonts w:cs="Calibri"/>
                <w:sz w:val="20"/>
                <w:szCs w:val="20"/>
              </w:rPr>
            </w:pPr>
          </w:p>
          <w:p w:rsidR="00B248CA" w:rsidRPr="004228FD" w:rsidRDefault="00B248CA" w:rsidP="00715E70">
            <w:pPr>
              <w:rPr>
                <w:rFonts w:cs="Calibri"/>
                <w:sz w:val="20"/>
                <w:szCs w:val="20"/>
              </w:rPr>
            </w:pPr>
          </w:p>
        </w:tc>
      </w:tr>
    </w:tbl>
    <w:p w:rsidR="00B248CA" w:rsidRPr="0081122E" w:rsidRDefault="00B248CA" w:rsidP="00B248CA">
      <w:pPr>
        <w:rPr>
          <w:rFonts w:cs="Calibri"/>
          <w:sz w:val="20"/>
          <w:szCs w:val="20"/>
        </w:rPr>
        <w:sectPr w:rsidR="00B248CA" w:rsidRPr="0081122E" w:rsidSect="00F26D23">
          <w:pgSz w:w="15840" w:h="12240" w:orient="landscape" w:code="1"/>
          <w:pgMar w:top="2200" w:right="480" w:bottom="420" w:left="500" w:header="600" w:footer="230" w:gutter="0"/>
          <w:cols w:space="720"/>
          <w:docGrid w:linePitch="299"/>
        </w:sectPr>
      </w:pPr>
    </w:p>
    <w:p w:rsidR="00B248CA" w:rsidRPr="0081122E" w:rsidRDefault="00B248CA" w:rsidP="00B248CA">
      <w:pPr>
        <w:spacing w:line="110" w:lineRule="exact"/>
        <w:rPr>
          <w:rFonts w:cs="Calibri"/>
          <w:sz w:val="20"/>
          <w:szCs w:val="20"/>
        </w:rPr>
      </w:pPr>
    </w:p>
    <w:p w:rsidR="00B248CA" w:rsidRPr="0081122E" w:rsidRDefault="00B248CA" w:rsidP="00B248CA">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B248CA" w:rsidRPr="004228FD" w:rsidTr="00715E70">
        <w:trPr>
          <w:trHeight w:val="960"/>
        </w:trPr>
        <w:tc>
          <w:tcPr>
            <w:tcW w:w="1185"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spacing w:before="8" w:line="180" w:lineRule="exact"/>
              <w:rPr>
                <w:rFonts w:cs="Calibri"/>
              </w:rPr>
            </w:pPr>
          </w:p>
          <w:p w:rsidR="00B248CA" w:rsidRPr="004228FD" w:rsidRDefault="00B248CA" w:rsidP="00715E70">
            <w:pPr>
              <w:keepNext/>
              <w:spacing w:before="240" w:after="60"/>
              <w:jc w:val="center"/>
              <w:outlineLvl w:val="0"/>
              <w:rPr>
                <w:rFonts w:asciiTheme="minorHAnsi" w:eastAsiaTheme="majorEastAsia" w:hAnsiTheme="minorHAnsi" w:cstheme="minorHAnsi"/>
                <w:bCs/>
                <w:kern w:val="32"/>
                <w:sz w:val="24"/>
                <w:szCs w:val="32"/>
              </w:rPr>
            </w:pPr>
            <w:r>
              <w:rPr>
                <w:rFonts w:asciiTheme="minorHAnsi" w:eastAsiaTheme="majorEastAsia" w:hAnsiTheme="minorHAnsi" w:cstheme="minorHAnsi"/>
                <w:b/>
                <w:kern w:val="32"/>
                <w:sz w:val="24"/>
              </w:rPr>
              <w:t>Dossiers et documents</w:t>
            </w:r>
          </w:p>
          <w:p w:rsidR="00B248CA" w:rsidRPr="004228FD" w:rsidRDefault="00B248CA" w:rsidP="00715E70">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rPr>
            </w:pPr>
            <w:r>
              <w:rPr>
                <w:b/>
              </w:rPr>
              <w:t>Risque</w:t>
            </w:r>
          </w:p>
        </w:tc>
        <w:tc>
          <w:tcPr>
            <w:tcW w:w="802"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spacing w:line="200" w:lineRule="exact"/>
              <w:jc w:val="center"/>
              <w:rPr>
                <w:rFonts w:cs="Calibri"/>
              </w:rPr>
            </w:pPr>
          </w:p>
          <w:p w:rsidR="00B248CA" w:rsidRPr="004228FD" w:rsidRDefault="00B248CA" w:rsidP="00715E70">
            <w:pPr>
              <w:spacing w:line="200" w:lineRule="exact"/>
              <w:jc w:val="center"/>
              <w:rPr>
                <w:rFonts w:cs="Calibri"/>
                <w:b/>
              </w:rPr>
            </w:pPr>
          </w:p>
          <w:p w:rsidR="00B248CA" w:rsidRPr="004228FD" w:rsidRDefault="00B248CA" w:rsidP="00715E70">
            <w:pPr>
              <w:spacing w:line="200" w:lineRule="exact"/>
              <w:jc w:val="center"/>
              <w:rPr>
                <w:rFonts w:cs="Calibri"/>
              </w:rPr>
            </w:pPr>
            <w:r>
              <w:rPr>
                <w:b/>
              </w:rPr>
              <w:t>Indicateur</w:t>
            </w:r>
          </w:p>
          <w:p w:rsidR="00B248CA" w:rsidRPr="004228FD" w:rsidRDefault="00B248CA" w:rsidP="00715E70">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b/>
              </w:rPr>
            </w:pPr>
            <w:r>
              <w:rPr>
                <w:b/>
              </w:rPr>
              <w:t>Non-conformité constatée</w:t>
            </w:r>
          </w:p>
        </w:tc>
        <w:tc>
          <w:tcPr>
            <w:tcW w:w="636"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rPr>
            </w:pPr>
            <w:r>
              <w:rPr>
                <w:b/>
              </w:rPr>
              <w:t>Exigence de conformité</w:t>
            </w:r>
          </w:p>
        </w:tc>
      </w:tr>
      <w:tr w:rsidR="00B248CA" w:rsidRPr="004228FD" w:rsidTr="00715E7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spacing w:before="48"/>
              <w:rPr>
                <w:rFonts w:cs="Calibri"/>
                <w:sz w:val="20"/>
                <w:szCs w:val="20"/>
              </w:rPr>
            </w:pPr>
          </w:p>
          <w:p w:rsidR="00B248CA" w:rsidRPr="00467C8D" w:rsidRDefault="00B248CA" w:rsidP="00715E70">
            <w:pPr>
              <w:spacing w:before="48"/>
              <w:rPr>
                <w:rFonts w:cs="Calibri"/>
                <w:sz w:val="20"/>
                <w:szCs w:val="20"/>
              </w:rPr>
            </w:pPr>
            <w:r>
              <w:rPr>
                <w:sz w:val="20"/>
              </w:rPr>
              <w:t>73. Convention de service, repas nutritifs</w:t>
            </w:r>
          </w:p>
          <w:p w:rsidR="00B248CA" w:rsidRPr="00467C8D" w:rsidRDefault="00B248CA" w:rsidP="00715E70">
            <w:pPr>
              <w:spacing w:before="7" w:line="190" w:lineRule="exact"/>
              <w:rPr>
                <w:rFonts w:cs="Calibri"/>
                <w:sz w:val="20"/>
                <w:szCs w:val="20"/>
              </w:rPr>
            </w:pPr>
          </w:p>
          <w:p w:rsidR="00B248CA" w:rsidRDefault="00B248CA" w:rsidP="00715E70">
            <w:pPr>
              <w:widowControl/>
              <w:rPr>
                <w:rFonts w:cs="Calibri"/>
                <w:sz w:val="20"/>
                <w:szCs w:val="20"/>
              </w:rPr>
            </w:pPr>
            <w:r>
              <w:rPr>
                <w:sz w:val="20"/>
              </w:rPr>
              <w:t>Les organismes de service doivent, pour chaque placement, signer avec la famille hôte une convention qui aborde les rôles et les responsabilités de la famille hôte, notamment pour ce qui est de fournir des repas nutritifs.</w:t>
            </w:r>
          </w:p>
          <w:p w:rsidR="00B248CA" w:rsidRPr="00467C8D" w:rsidRDefault="00B248CA" w:rsidP="00715E70">
            <w:pPr>
              <w:widowControl/>
              <w:rPr>
                <w:rFonts w:cs="Calibri"/>
                <w:sz w:val="20"/>
                <w:szCs w:val="20"/>
              </w:rPr>
            </w:pPr>
          </w:p>
          <w:p w:rsidR="00B248CA" w:rsidRPr="004228FD" w:rsidRDefault="00B248CA" w:rsidP="00715E70">
            <w:pPr>
              <w:widowControl/>
              <w:rPr>
                <w:rFonts w:cs="Calibri"/>
                <w:sz w:val="16"/>
                <w:szCs w:val="16"/>
              </w:rPr>
            </w:pPr>
            <w:r>
              <w:rPr>
                <w:sz w:val="20"/>
              </w:rPr>
              <w:t>Directives en matière de politique s’appliquant aux organismes de service en ce qui a trait au Programme de placement en famille hôte 2.0</w:t>
            </w:r>
          </w:p>
          <w:p w:rsidR="00B248CA" w:rsidRPr="004228FD" w:rsidRDefault="00B248CA" w:rsidP="00715E70">
            <w:pPr>
              <w:rPr>
                <w:rFonts w:cs="Calibri"/>
                <w:sz w:val="20"/>
                <w:szCs w:val="20"/>
              </w:rPr>
            </w:pPr>
          </w:p>
          <w:p w:rsidR="00B248CA" w:rsidRPr="004228FD" w:rsidRDefault="00B248CA" w:rsidP="00715E70">
            <w:pPr>
              <w:rPr>
                <w:rFonts w:cs="Calibri"/>
                <w:sz w:val="20"/>
                <w:szCs w:val="20"/>
              </w:rPr>
            </w:pPr>
          </w:p>
          <w:p w:rsidR="00B248CA" w:rsidRPr="004228FD" w:rsidRDefault="00B248CA" w:rsidP="00715E70">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B248CA" w:rsidRPr="004228FD" w:rsidRDefault="00B248CA" w:rsidP="00715E70">
            <w:pPr>
              <w:autoSpaceDE w:val="0"/>
              <w:autoSpaceDN w:val="0"/>
              <w:adjustRightInd w:val="0"/>
              <w:rPr>
                <w:rFonts w:cs="Calibri"/>
                <w:sz w:val="20"/>
                <w:szCs w:val="20"/>
              </w:rPr>
            </w:pPr>
          </w:p>
          <w:p w:rsidR="00B248CA" w:rsidRDefault="00B248CA" w:rsidP="00715E70">
            <w:pPr>
              <w:rPr>
                <w:sz w:val="20"/>
                <w:szCs w:val="20"/>
              </w:rPr>
            </w:pPr>
            <w:r>
              <w:rPr>
                <w:sz w:val="20"/>
              </w:rPr>
              <w:t>Afin d’encourager une compréhension commune du placement en famille hôte, les organismes sont tenus de signer avec la famille hôte une convention qui décrit les attentes de l’organisme à l’égard de la famille hôte et les activités de soutien et de supervision réalisées par l’organisme.</w:t>
            </w:r>
          </w:p>
          <w:p w:rsidR="00B248CA"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r>
              <w:rPr>
                <w:sz w:val="20"/>
              </w:rPr>
              <w:t>La convention de service signée avec la famille hôte doit obliger cette dernière à fournir des repas nutritifs.</w:t>
            </w:r>
          </w:p>
          <w:p w:rsidR="00B248CA" w:rsidRPr="004228FD"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jc w:val="center"/>
              <w:rPr>
                <w:rFonts w:cs="Calibri"/>
                <w:sz w:val="20"/>
                <w:szCs w:val="20"/>
              </w:rPr>
            </w:pPr>
            <w:r>
              <w:rPr>
                <w:sz w:val="20"/>
              </w:rPr>
              <w:t>MODÉRÉ</w:t>
            </w:r>
          </w:p>
        </w:tc>
        <w:tc>
          <w:tcPr>
            <w:tcW w:w="802" w:type="pct"/>
            <w:tcBorders>
              <w:top w:val="single" w:sz="4" w:space="0" w:color="000000"/>
              <w:left w:val="single" w:sz="4" w:space="0" w:color="000000"/>
              <w:bottom w:val="single" w:sz="4" w:space="0" w:color="000000"/>
              <w:right w:val="single" w:sz="4" w:space="0" w:color="000000"/>
            </w:tcBorders>
          </w:tcPr>
          <w:p w:rsidR="00B248CA"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asciiTheme="minorHAnsi" w:hAnsiTheme="minorHAnsi" w:cstheme="minorHAnsi"/>
                <w:sz w:val="20"/>
                <w:szCs w:val="20"/>
              </w:rPr>
            </w:pPr>
            <w:r>
              <w:rPr>
                <w:sz w:val="20"/>
              </w:rPr>
              <w:t>Convention de service</w:t>
            </w:r>
          </w:p>
          <w:p w:rsidR="00B248CA" w:rsidRPr="004228FD" w:rsidRDefault="00B248CA" w:rsidP="00715E70">
            <w:pPr>
              <w:autoSpaceDE w:val="0"/>
              <w:autoSpaceDN w:val="0"/>
              <w:adjustRightInd w:val="0"/>
              <w:rPr>
                <w:rFonts w:asciiTheme="minorHAnsi" w:hAnsiTheme="minorHAnsi" w:cstheme="minorHAnsi"/>
                <w:sz w:val="20"/>
                <w:szCs w:val="20"/>
              </w:rPr>
            </w:pPr>
          </w:p>
          <w:p w:rsidR="00B248CA" w:rsidRPr="004228FD" w:rsidRDefault="00B248CA" w:rsidP="00715E70">
            <w:pPr>
              <w:rPr>
                <w:rFonts w:asciiTheme="minorHAnsi" w:hAnsiTheme="minorHAnsi" w:cstheme="minorHAnsi"/>
                <w:sz w:val="20"/>
                <w:szCs w:val="20"/>
              </w:rPr>
            </w:pPr>
          </w:p>
          <w:p w:rsidR="00B248CA" w:rsidRPr="004228FD" w:rsidRDefault="00B248CA" w:rsidP="00715E70">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rPr>
                <w:rFonts w:cs="Calibri"/>
                <w:sz w:val="20"/>
                <w:szCs w:val="20"/>
              </w:rPr>
            </w:pPr>
            <w:r>
              <w:rPr>
                <w:sz w:val="20"/>
              </w:rPr>
              <w:t xml:space="preserve">La convention de service signée entre l’organisme de service et la famille hôte ne prévoit pas </w:t>
            </w:r>
            <w:r w:rsidR="00AF6FB2">
              <w:rPr>
                <w:sz w:val="20"/>
              </w:rPr>
              <w:t xml:space="preserve">le fait </w:t>
            </w:r>
            <w:r>
              <w:rPr>
                <w:sz w:val="20"/>
              </w:rPr>
              <w:t>de fournir des repas nutritifs.</w:t>
            </w:r>
          </w:p>
        </w:tc>
        <w:tc>
          <w:tcPr>
            <w:tcW w:w="636"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rPr>
                <w:rFonts w:cs="Calibri"/>
                <w:sz w:val="20"/>
                <w:szCs w:val="20"/>
              </w:rPr>
            </w:pPr>
            <w:r>
              <w:rPr>
                <w:sz w:val="20"/>
              </w:rPr>
              <w:t>Une lettre ou un document confirmant que la mesure corrective a été menée à bien.</w:t>
            </w:r>
          </w:p>
          <w:p w:rsidR="00B248CA" w:rsidRPr="004228FD" w:rsidRDefault="00B248CA" w:rsidP="00715E70">
            <w:pPr>
              <w:rPr>
                <w:rFonts w:cs="Calibri"/>
                <w:sz w:val="20"/>
                <w:szCs w:val="20"/>
              </w:rPr>
            </w:pPr>
          </w:p>
          <w:p w:rsidR="00B248CA" w:rsidRPr="004228FD" w:rsidRDefault="00B248CA" w:rsidP="00715E70">
            <w:pPr>
              <w:rPr>
                <w:rFonts w:cs="Calibri"/>
                <w:sz w:val="20"/>
                <w:szCs w:val="20"/>
              </w:rPr>
            </w:pPr>
          </w:p>
        </w:tc>
      </w:tr>
    </w:tbl>
    <w:p w:rsidR="00B248CA" w:rsidRPr="0081122E" w:rsidRDefault="00B248CA" w:rsidP="00B248CA">
      <w:pPr>
        <w:rPr>
          <w:rFonts w:cs="Calibri"/>
          <w:sz w:val="20"/>
          <w:szCs w:val="20"/>
        </w:rPr>
        <w:sectPr w:rsidR="00B248CA" w:rsidRPr="0081122E" w:rsidSect="00F26D23">
          <w:pgSz w:w="15840" w:h="12240" w:orient="landscape" w:code="1"/>
          <w:pgMar w:top="2200" w:right="480" w:bottom="420" w:left="500" w:header="600" w:footer="230" w:gutter="0"/>
          <w:cols w:space="720"/>
          <w:docGrid w:linePitch="299"/>
        </w:sectPr>
      </w:pPr>
    </w:p>
    <w:p w:rsidR="00B248CA" w:rsidRPr="0081122E" w:rsidRDefault="00B248CA" w:rsidP="00B248CA">
      <w:pPr>
        <w:spacing w:line="110" w:lineRule="exact"/>
        <w:rPr>
          <w:rFonts w:cs="Calibri"/>
          <w:sz w:val="20"/>
          <w:szCs w:val="20"/>
        </w:rPr>
      </w:pPr>
    </w:p>
    <w:p w:rsidR="00B248CA" w:rsidRPr="0081122E" w:rsidRDefault="00B248CA" w:rsidP="00B248CA">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B248CA" w:rsidRPr="004228FD" w:rsidTr="00715E70">
        <w:trPr>
          <w:trHeight w:val="960"/>
        </w:trPr>
        <w:tc>
          <w:tcPr>
            <w:tcW w:w="1185"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spacing w:before="8" w:line="180" w:lineRule="exact"/>
              <w:rPr>
                <w:rFonts w:cs="Calibri"/>
              </w:rPr>
            </w:pPr>
          </w:p>
          <w:p w:rsidR="00B248CA" w:rsidRPr="004228FD" w:rsidRDefault="00B248CA" w:rsidP="00715E70">
            <w:pPr>
              <w:keepNext/>
              <w:spacing w:before="240" w:after="60"/>
              <w:jc w:val="center"/>
              <w:outlineLvl w:val="0"/>
              <w:rPr>
                <w:rFonts w:asciiTheme="minorHAnsi" w:eastAsiaTheme="majorEastAsia" w:hAnsiTheme="minorHAnsi" w:cstheme="minorHAnsi"/>
                <w:bCs/>
                <w:kern w:val="32"/>
                <w:sz w:val="24"/>
                <w:szCs w:val="32"/>
              </w:rPr>
            </w:pPr>
            <w:r>
              <w:rPr>
                <w:rFonts w:asciiTheme="minorHAnsi" w:eastAsiaTheme="majorEastAsia" w:hAnsiTheme="minorHAnsi" w:cstheme="minorHAnsi"/>
                <w:b/>
                <w:kern w:val="32"/>
                <w:sz w:val="24"/>
              </w:rPr>
              <w:t>Dossiers et documents</w:t>
            </w:r>
          </w:p>
          <w:p w:rsidR="00B248CA" w:rsidRPr="004228FD" w:rsidRDefault="00B248CA" w:rsidP="00715E70">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rPr>
            </w:pPr>
            <w:r>
              <w:rPr>
                <w:b/>
              </w:rPr>
              <w:t>Risque</w:t>
            </w:r>
          </w:p>
        </w:tc>
        <w:tc>
          <w:tcPr>
            <w:tcW w:w="802"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spacing w:line="200" w:lineRule="exact"/>
              <w:jc w:val="center"/>
              <w:rPr>
                <w:rFonts w:cs="Calibri"/>
              </w:rPr>
            </w:pPr>
          </w:p>
          <w:p w:rsidR="00B248CA" w:rsidRPr="004228FD" w:rsidRDefault="00B248CA" w:rsidP="00715E70">
            <w:pPr>
              <w:spacing w:line="200" w:lineRule="exact"/>
              <w:jc w:val="center"/>
              <w:rPr>
                <w:rFonts w:cs="Calibri"/>
                <w:b/>
              </w:rPr>
            </w:pPr>
          </w:p>
          <w:p w:rsidR="00B248CA" w:rsidRPr="004228FD" w:rsidRDefault="00B248CA" w:rsidP="00715E70">
            <w:pPr>
              <w:spacing w:line="200" w:lineRule="exact"/>
              <w:jc w:val="center"/>
              <w:rPr>
                <w:rFonts w:cs="Calibri"/>
              </w:rPr>
            </w:pPr>
            <w:r>
              <w:rPr>
                <w:b/>
              </w:rPr>
              <w:t>Indicateur</w:t>
            </w:r>
          </w:p>
          <w:p w:rsidR="00B248CA" w:rsidRPr="004228FD" w:rsidRDefault="00B248CA" w:rsidP="00715E70">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b/>
              </w:rPr>
            </w:pPr>
            <w:r>
              <w:rPr>
                <w:b/>
              </w:rPr>
              <w:t>Non-conformité constatée</w:t>
            </w:r>
          </w:p>
        </w:tc>
        <w:tc>
          <w:tcPr>
            <w:tcW w:w="636"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rPr>
            </w:pPr>
            <w:r>
              <w:rPr>
                <w:b/>
              </w:rPr>
              <w:t>Exigence de conformité</w:t>
            </w:r>
          </w:p>
        </w:tc>
      </w:tr>
      <w:tr w:rsidR="00B248CA" w:rsidRPr="004228FD" w:rsidTr="00715E7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spacing w:before="48"/>
              <w:rPr>
                <w:rFonts w:cs="Calibri"/>
                <w:sz w:val="20"/>
                <w:szCs w:val="20"/>
              </w:rPr>
            </w:pPr>
          </w:p>
          <w:p w:rsidR="00B248CA" w:rsidRPr="004228FD" w:rsidRDefault="00B248CA" w:rsidP="00715E70">
            <w:pPr>
              <w:spacing w:before="48"/>
              <w:rPr>
                <w:rFonts w:cs="Calibri"/>
                <w:sz w:val="20"/>
                <w:szCs w:val="20"/>
              </w:rPr>
            </w:pPr>
            <w:r>
              <w:rPr>
                <w:sz w:val="20"/>
              </w:rPr>
              <w:t>74. Convention de service, activités dans la collectivité</w:t>
            </w:r>
          </w:p>
          <w:p w:rsidR="00B248CA" w:rsidRPr="004228FD" w:rsidRDefault="00B248CA" w:rsidP="00715E70">
            <w:pPr>
              <w:spacing w:before="7" w:line="190" w:lineRule="exact"/>
              <w:rPr>
                <w:rFonts w:cs="Calibri"/>
                <w:sz w:val="20"/>
                <w:szCs w:val="20"/>
              </w:rPr>
            </w:pPr>
          </w:p>
          <w:p w:rsidR="00B248CA" w:rsidRDefault="00B248CA" w:rsidP="00715E70">
            <w:pPr>
              <w:widowControl/>
              <w:rPr>
                <w:rFonts w:cs="Calibri"/>
                <w:sz w:val="20"/>
                <w:szCs w:val="20"/>
              </w:rPr>
            </w:pPr>
            <w:r>
              <w:rPr>
                <w:sz w:val="20"/>
              </w:rPr>
              <w:t>Les organismes de service doivent, pour chaque placement, signer avec la famille hôte une convention qui aborde les rôles et les responsabilités de la famille hôte, notamment pour ce qui est d’aider la personne placée à se rendre à l’école, à participer à des activités sociales et à aller travailler (s’il y a lieu) et de l’encourager à poursuivre d’autres activités dans la collectivité.</w:t>
            </w:r>
          </w:p>
          <w:p w:rsidR="00B248CA" w:rsidRDefault="00B248CA" w:rsidP="00715E70">
            <w:pPr>
              <w:widowControl/>
              <w:rPr>
                <w:rFonts w:cs="Calibri"/>
                <w:sz w:val="20"/>
                <w:szCs w:val="20"/>
              </w:rPr>
            </w:pPr>
          </w:p>
          <w:p w:rsidR="00B248CA" w:rsidRPr="004228FD" w:rsidRDefault="00B248CA" w:rsidP="00715E70">
            <w:pPr>
              <w:widowControl/>
              <w:rPr>
                <w:rFonts w:cs="Calibri"/>
                <w:sz w:val="16"/>
                <w:szCs w:val="16"/>
              </w:rPr>
            </w:pPr>
            <w:r>
              <w:rPr>
                <w:sz w:val="20"/>
              </w:rPr>
              <w:t>Directives en matière de politique s’appliquant aux organismes de service en ce qui a trait au Programme de placement en famille hôte 2.0</w:t>
            </w:r>
          </w:p>
          <w:p w:rsidR="00B248CA" w:rsidRPr="004228FD" w:rsidRDefault="00B248CA" w:rsidP="00715E70">
            <w:pPr>
              <w:rPr>
                <w:rFonts w:cs="Calibri"/>
                <w:sz w:val="20"/>
                <w:szCs w:val="20"/>
              </w:rPr>
            </w:pPr>
          </w:p>
          <w:p w:rsidR="00B248CA" w:rsidRPr="004228FD" w:rsidRDefault="00B248CA" w:rsidP="00715E70">
            <w:pPr>
              <w:rPr>
                <w:rFonts w:cs="Calibri"/>
                <w:sz w:val="20"/>
                <w:szCs w:val="20"/>
              </w:rPr>
            </w:pPr>
          </w:p>
          <w:p w:rsidR="00B248CA" w:rsidRPr="004228FD" w:rsidRDefault="00B248CA" w:rsidP="00715E70">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B248CA" w:rsidRPr="004228FD" w:rsidRDefault="00B248CA" w:rsidP="00715E70">
            <w:pPr>
              <w:autoSpaceDE w:val="0"/>
              <w:autoSpaceDN w:val="0"/>
              <w:adjustRightInd w:val="0"/>
              <w:rPr>
                <w:rFonts w:cs="Calibri"/>
                <w:sz w:val="20"/>
                <w:szCs w:val="20"/>
              </w:rPr>
            </w:pPr>
          </w:p>
          <w:p w:rsidR="00B248CA" w:rsidRDefault="00B248CA" w:rsidP="00715E70">
            <w:pPr>
              <w:rPr>
                <w:sz w:val="20"/>
                <w:szCs w:val="20"/>
              </w:rPr>
            </w:pPr>
            <w:r>
              <w:rPr>
                <w:sz w:val="20"/>
              </w:rPr>
              <w:t>Afin d’encourager une compréhension commune du placement en famille hôte, les organismes sont tenus de signer avec la famille hôte une convention qui décrit les attentes de l’organisme à l’égard de la famille hôte et les activités de soutien et de supervision réalisées par l’organisme.</w:t>
            </w:r>
          </w:p>
          <w:p w:rsidR="00B248CA"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r>
              <w:rPr>
                <w:sz w:val="20"/>
              </w:rPr>
              <w:t>La convention de service signée doit prévoir que la famille hôte aide la personne placée à se rendre à l’école, à participer à des activités sociales et à aller travailler (s’il y a lieu) et l’encourage à poursuivre d’autres activités dans la collectivité.</w:t>
            </w:r>
          </w:p>
          <w:p w:rsidR="00B248CA" w:rsidRPr="004228FD"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jc w:val="center"/>
              <w:rPr>
                <w:rFonts w:cs="Calibri"/>
                <w:sz w:val="20"/>
                <w:szCs w:val="20"/>
              </w:rPr>
            </w:pPr>
            <w:r>
              <w:rPr>
                <w:sz w:val="20"/>
              </w:rPr>
              <w:t>MODÉRÉ</w:t>
            </w:r>
          </w:p>
        </w:tc>
        <w:tc>
          <w:tcPr>
            <w:tcW w:w="802" w:type="pct"/>
            <w:tcBorders>
              <w:top w:val="single" w:sz="4" w:space="0" w:color="000000"/>
              <w:left w:val="single" w:sz="4" w:space="0" w:color="000000"/>
              <w:bottom w:val="single" w:sz="4" w:space="0" w:color="000000"/>
              <w:right w:val="single" w:sz="4" w:space="0" w:color="000000"/>
            </w:tcBorders>
          </w:tcPr>
          <w:p w:rsidR="00B248CA"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asciiTheme="minorHAnsi" w:hAnsiTheme="minorHAnsi" w:cstheme="minorHAnsi"/>
                <w:sz w:val="20"/>
                <w:szCs w:val="20"/>
              </w:rPr>
            </w:pPr>
            <w:r>
              <w:rPr>
                <w:sz w:val="20"/>
              </w:rPr>
              <w:t>Convention de service</w:t>
            </w:r>
          </w:p>
          <w:p w:rsidR="00B248CA" w:rsidRPr="004228FD" w:rsidRDefault="00B248CA" w:rsidP="00715E70">
            <w:pPr>
              <w:autoSpaceDE w:val="0"/>
              <w:autoSpaceDN w:val="0"/>
              <w:adjustRightInd w:val="0"/>
              <w:rPr>
                <w:rFonts w:asciiTheme="minorHAnsi" w:hAnsiTheme="minorHAnsi" w:cstheme="minorHAnsi"/>
                <w:sz w:val="20"/>
                <w:szCs w:val="20"/>
              </w:rPr>
            </w:pPr>
          </w:p>
          <w:p w:rsidR="00B248CA" w:rsidRPr="004228FD" w:rsidRDefault="00B248CA" w:rsidP="00715E70">
            <w:pPr>
              <w:rPr>
                <w:rFonts w:asciiTheme="minorHAnsi" w:hAnsiTheme="minorHAnsi" w:cstheme="minorHAnsi"/>
                <w:sz w:val="20"/>
                <w:szCs w:val="20"/>
              </w:rPr>
            </w:pPr>
          </w:p>
          <w:p w:rsidR="00B248CA" w:rsidRPr="004228FD" w:rsidRDefault="00B248CA" w:rsidP="00715E70">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rPr>
                <w:rFonts w:cs="Calibri"/>
                <w:sz w:val="20"/>
                <w:szCs w:val="20"/>
              </w:rPr>
            </w:pPr>
            <w:r>
              <w:rPr>
                <w:sz w:val="20"/>
              </w:rPr>
              <w:t>La convention de service signée entre l’organisme de service et la famille hôte ne prévoit pas que la famille aide la personne placée à aller à l’école, à poursuivre ses activités sociales et à aller travailler (s’il y a lieu) et l’encourage à poursuivre d’autres activités dans la collectivité.</w:t>
            </w:r>
          </w:p>
        </w:tc>
        <w:tc>
          <w:tcPr>
            <w:tcW w:w="636"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rPr>
                <w:rFonts w:cs="Calibri"/>
                <w:sz w:val="20"/>
                <w:szCs w:val="20"/>
              </w:rPr>
            </w:pPr>
            <w:r>
              <w:rPr>
                <w:sz w:val="20"/>
              </w:rPr>
              <w:t>Une lettre ou un document confirmant que la mesure corrective a été menée à bien.</w:t>
            </w:r>
          </w:p>
          <w:p w:rsidR="00B248CA" w:rsidRPr="004228FD" w:rsidRDefault="00B248CA" w:rsidP="00715E70">
            <w:pPr>
              <w:rPr>
                <w:rFonts w:cs="Calibri"/>
                <w:sz w:val="20"/>
                <w:szCs w:val="20"/>
              </w:rPr>
            </w:pPr>
          </w:p>
          <w:p w:rsidR="00B248CA" w:rsidRPr="004228FD" w:rsidRDefault="00B248CA" w:rsidP="00715E70">
            <w:pPr>
              <w:rPr>
                <w:rFonts w:cs="Calibri"/>
                <w:sz w:val="20"/>
                <w:szCs w:val="20"/>
              </w:rPr>
            </w:pPr>
          </w:p>
        </w:tc>
      </w:tr>
    </w:tbl>
    <w:p w:rsidR="00B248CA" w:rsidRPr="0081122E" w:rsidRDefault="00B248CA" w:rsidP="00B248CA">
      <w:pPr>
        <w:rPr>
          <w:rFonts w:cs="Calibri"/>
          <w:sz w:val="20"/>
          <w:szCs w:val="20"/>
        </w:rPr>
        <w:sectPr w:rsidR="00B248CA" w:rsidRPr="0081122E" w:rsidSect="00F26D23">
          <w:pgSz w:w="15840" w:h="12240" w:orient="landscape" w:code="1"/>
          <w:pgMar w:top="2200" w:right="480" w:bottom="420" w:left="500" w:header="600" w:footer="230" w:gutter="0"/>
          <w:cols w:space="720"/>
          <w:docGrid w:linePitch="299"/>
        </w:sectPr>
      </w:pPr>
    </w:p>
    <w:p w:rsidR="00B248CA" w:rsidRPr="0081122E" w:rsidRDefault="00B248CA" w:rsidP="00B248CA">
      <w:pPr>
        <w:spacing w:line="110" w:lineRule="exact"/>
        <w:rPr>
          <w:rFonts w:cs="Calibri"/>
          <w:sz w:val="20"/>
          <w:szCs w:val="20"/>
        </w:rPr>
      </w:pPr>
    </w:p>
    <w:p w:rsidR="00B248CA" w:rsidRPr="0081122E" w:rsidRDefault="00B248CA" w:rsidP="00B248CA">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B248CA" w:rsidRPr="004228FD" w:rsidTr="00715E70">
        <w:trPr>
          <w:trHeight w:val="1111"/>
        </w:trPr>
        <w:tc>
          <w:tcPr>
            <w:tcW w:w="1185"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spacing w:before="8" w:line="180" w:lineRule="exact"/>
              <w:rPr>
                <w:rFonts w:cs="Calibri"/>
              </w:rPr>
            </w:pPr>
          </w:p>
          <w:p w:rsidR="00B248CA" w:rsidRPr="004228FD" w:rsidRDefault="00B248CA" w:rsidP="00715E70">
            <w:pPr>
              <w:keepNext/>
              <w:spacing w:before="240" w:after="60"/>
              <w:jc w:val="center"/>
              <w:outlineLvl w:val="0"/>
              <w:rPr>
                <w:rFonts w:asciiTheme="minorHAnsi" w:eastAsiaTheme="majorEastAsia" w:hAnsiTheme="minorHAnsi" w:cstheme="minorHAnsi"/>
                <w:bCs/>
                <w:kern w:val="32"/>
                <w:sz w:val="24"/>
                <w:szCs w:val="32"/>
              </w:rPr>
            </w:pPr>
            <w:r>
              <w:rPr>
                <w:rFonts w:asciiTheme="minorHAnsi" w:eastAsiaTheme="majorEastAsia" w:hAnsiTheme="minorHAnsi" w:cstheme="minorHAnsi"/>
                <w:b/>
                <w:kern w:val="32"/>
                <w:sz w:val="24"/>
              </w:rPr>
              <w:t>Dossiers et documents</w:t>
            </w:r>
          </w:p>
          <w:p w:rsidR="00B248CA" w:rsidRPr="004228FD" w:rsidRDefault="00B248CA" w:rsidP="00715E70">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rPr>
            </w:pPr>
            <w:r>
              <w:rPr>
                <w:b/>
              </w:rPr>
              <w:t>Risque</w:t>
            </w:r>
          </w:p>
        </w:tc>
        <w:tc>
          <w:tcPr>
            <w:tcW w:w="802"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spacing w:line="200" w:lineRule="exact"/>
              <w:jc w:val="center"/>
              <w:rPr>
                <w:rFonts w:cs="Calibri"/>
              </w:rPr>
            </w:pPr>
          </w:p>
          <w:p w:rsidR="00B248CA" w:rsidRPr="004228FD" w:rsidRDefault="00B248CA" w:rsidP="00715E70">
            <w:pPr>
              <w:spacing w:line="200" w:lineRule="exact"/>
              <w:jc w:val="center"/>
              <w:rPr>
                <w:rFonts w:cs="Calibri"/>
                <w:b/>
              </w:rPr>
            </w:pPr>
          </w:p>
          <w:p w:rsidR="00B248CA" w:rsidRPr="004228FD" w:rsidRDefault="00B248CA" w:rsidP="00715E70">
            <w:pPr>
              <w:spacing w:line="200" w:lineRule="exact"/>
              <w:jc w:val="center"/>
              <w:rPr>
                <w:rFonts w:cs="Calibri"/>
              </w:rPr>
            </w:pPr>
            <w:r>
              <w:rPr>
                <w:b/>
              </w:rPr>
              <w:t>Indicateur</w:t>
            </w:r>
          </w:p>
          <w:p w:rsidR="00B248CA" w:rsidRPr="004228FD" w:rsidRDefault="00B248CA" w:rsidP="00715E70">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b/>
              </w:rPr>
            </w:pPr>
            <w:r>
              <w:rPr>
                <w:b/>
              </w:rPr>
              <w:t>Non-conformité constatée</w:t>
            </w:r>
          </w:p>
        </w:tc>
        <w:tc>
          <w:tcPr>
            <w:tcW w:w="636" w:type="pct"/>
            <w:tcBorders>
              <w:top w:val="single" w:sz="4" w:space="0" w:color="000000"/>
              <w:left w:val="single" w:sz="4" w:space="0" w:color="000000"/>
              <w:right w:val="single" w:sz="4" w:space="0" w:color="000000"/>
            </w:tcBorders>
            <w:shd w:val="clear" w:color="auto" w:fill="BFBFBF"/>
          </w:tcPr>
          <w:p w:rsidR="00B248CA" w:rsidRPr="004228FD" w:rsidRDefault="00B248CA" w:rsidP="00715E70">
            <w:pPr>
              <w:jc w:val="center"/>
              <w:rPr>
                <w:rFonts w:cs="Calibri"/>
                <w:b/>
              </w:rPr>
            </w:pPr>
          </w:p>
          <w:p w:rsidR="00B248CA" w:rsidRPr="004228FD" w:rsidRDefault="00B248CA" w:rsidP="00715E70">
            <w:pPr>
              <w:jc w:val="center"/>
              <w:rPr>
                <w:rFonts w:cs="Calibri"/>
              </w:rPr>
            </w:pPr>
            <w:r>
              <w:rPr>
                <w:b/>
              </w:rPr>
              <w:t>Exigence de conformité</w:t>
            </w:r>
          </w:p>
        </w:tc>
      </w:tr>
      <w:tr w:rsidR="00B248CA" w:rsidRPr="004228FD" w:rsidTr="00715E7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spacing w:before="48"/>
              <w:rPr>
                <w:rFonts w:cs="Calibri"/>
                <w:sz w:val="20"/>
                <w:szCs w:val="20"/>
              </w:rPr>
            </w:pPr>
          </w:p>
          <w:p w:rsidR="00B248CA" w:rsidRPr="004228FD" w:rsidRDefault="00B248CA" w:rsidP="00715E70">
            <w:pPr>
              <w:spacing w:before="48"/>
              <w:rPr>
                <w:rFonts w:cs="Calibri"/>
                <w:sz w:val="20"/>
                <w:szCs w:val="20"/>
              </w:rPr>
            </w:pPr>
            <w:r>
              <w:rPr>
                <w:sz w:val="20"/>
              </w:rPr>
              <w:t>75. Convention de service, PSI</w:t>
            </w:r>
          </w:p>
          <w:p w:rsidR="00B248CA" w:rsidRPr="004228FD" w:rsidRDefault="00B248CA" w:rsidP="00715E70">
            <w:pPr>
              <w:spacing w:before="7" w:line="190" w:lineRule="exact"/>
              <w:rPr>
                <w:rFonts w:cs="Calibri"/>
                <w:sz w:val="20"/>
                <w:szCs w:val="20"/>
              </w:rPr>
            </w:pPr>
          </w:p>
          <w:p w:rsidR="00B248CA" w:rsidRDefault="00B248CA" w:rsidP="00715E70">
            <w:pPr>
              <w:widowControl/>
              <w:rPr>
                <w:rFonts w:cs="Calibri"/>
                <w:sz w:val="20"/>
                <w:szCs w:val="20"/>
              </w:rPr>
            </w:pPr>
            <w:r>
              <w:rPr>
                <w:sz w:val="20"/>
              </w:rPr>
              <w:t xml:space="preserve">Les organismes de service doivent, pour chaque placement, signer avec la famille hôte une convention qui aborde les rôles et les responsabilités de la famille hôte, notamment pour ce qui est de réaliser </w:t>
            </w:r>
            <w:r w:rsidR="00AF6FB2">
              <w:rPr>
                <w:sz w:val="20"/>
              </w:rPr>
              <w:t>les</w:t>
            </w:r>
            <w:r>
              <w:rPr>
                <w:sz w:val="20"/>
              </w:rPr>
              <w:t xml:space="preserve"> composantes du plan de soutien individualisé conformément aux modalités du placement.</w:t>
            </w:r>
          </w:p>
          <w:p w:rsidR="00B248CA" w:rsidRDefault="00B248CA" w:rsidP="00715E70">
            <w:pPr>
              <w:widowControl/>
              <w:rPr>
                <w:rFonts w:cs="Calibri"/>
                <w:sz w:val="20"/>
                <w:szCs w:val="20"/>
              </w:rPr>
            </w:pPr>
          </w:p>
          <w:p w:rsidR="00B248CA" w:rsidRPr="004228FD" w:rsidRDefault="00B248CA" w:rsidP="00715E70">
            <w:pPr>
              <w:widowControl/>
              <w:rPr>
                <w:rFonts w:cs="Calibri"/>
                <w:sz w:val="16"/>
                <w:szCs w:val="16"/>
              </w:rPr>
            </w:pPr>
            <w:r>
              <w:rPr>
                <w:sz w:val="20"/>
              </w:rPr>
              <w:t>Directives en matière de politique s’appliquant aux organismes de service en ce qui a trait au Programme de placement en famille hôte 2.0</w:t>
            </w:r>
          </w:p>
          <w:p w:rsidR="00B248CA" w:rsidRPr="004228FD" w:rsidRDefault="00B248CA" w:rsidP="00715E70">
            <w:pPr>
              <w:rPr>
                <w:rFonts w:cs="Calibri"/>
                <w:sz w:val="20"/>
                <w:szCs w:val="20"/>
              </w:rPr>
            </w:pPr>
          </w:p>
          <w:p w:rsidR="00B248CA" w:rsidRPr="004228FD" w:rsidRDefault="00B248CA" w:rsidP="00715E70">
            <w:pPr>
              <w:rPr>
                <w:rFonts w:cs="Calibri"/>
                <w:sz w:val="20"/>
                <w:szCs w:val="20"/>
              </w:rPr>
            </w:pPr>
          </w:p>
          <w:p w:rsidR="00B248CA" w:rsidRPr="004228FD" w:rsidRDefault="00B248CA" w:rsidP="00715E70">
            <w:pPr>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B248CA" w:rsidRPr="004228FD" w:rsidRDefault="00B248CA" w:rsidP="00715E70">
            <w:pPr>
              <w:autoSpaceDE w:val="0"/>
              <w:autoSpaceDN w:val="0"/>
              <w:adjustRightInd w:val="0"/>
              <w:rPr>
                <w:rFonts w:cs="Calibri"/>
                <w:sz w:val="20"/>
                <w:szCs w:val="20"/>
              </w:rPr>
            </w:pPr>
          </w:p>
          <w:p w:rsidR="00B248CA" w:rsidRDefault="00B248CA" w:rsidP="00715E70">
            <w:pPr>
              <w:autoSpaceDE w:val="0"/>
              <w:autoSpaceDN w:val="0"/>
              <w:adjustRightInd w:val="0"/>
              <w:rPr>
                <w:sz w:val="20"/>
                <w:szCs w:val="20"/>
              </w:rPr>
            </w:pPr>
            <w:r>
              <w:rPr>
                <w:sz w:val="20"/>
              </w:rPr>
              <w:t>Afin d’encourager une compréhension commune du placement en famille hôte, les organismes sont tenus de signer avec la famille hôte une convention qui décrit les attentes de l’organisme à l’égard de la famille hôte et les activités de soutien et de supervision réalisées par l’organisme.</w:t>
            </w:r>
          </w:p>
          <w:p w:rsidR="00B248CA"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r>
              <w:rPr>
                <w:sz w:val="20"/>
              </w:rPr>
              <w:t xml:space="preserve">La convention de service signée prévoit que la famille hôte réalise </w:t>
            </w:r>
            <w:r w:rsidR="00AF6FB2">
              <w:rPr>
                <w:sz w:val="20"/>
              </w:rPr>
              <w:t>les</w:t>
            </w:r>
            <w:r>
              <w:rPr>
                <w:sz w:val="20"/>
              </w:rPr>
              <w:t xml:space="preserve"> composantes du plan de soutien individualisé conformément aux modalités du placement.</w:t>
            </w:r>
          </w:p>
          <w:p w:rsidR="00B248CA" w:rsidRPr="004228FD"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jc w:val="center"/>
              <w:rPr>
                <w:rFonts w:cs="Calibri"/>
                <w:sz w:val="20"/>
                <w:szCs w:val="20"/>
              </w:rPr>
            </w:pPr>
            <w:r>
              <w:rPr>
                <w:sz w:val="20"/>
              </w:rPr>
              <w:t>MODÉRÉ</w:t>
            </w:r>
          </w:p>
        </w:tc>
        <w:tc>
          <w:tcPr>
            <w:tcW w:w="802" w:type="pct"/>
            <w:tcBorders>
              <w:top w:val="single" w:sz="4" w:space="0" w:color="000000"/>
              <w:left w:val="single" w:sz="4" w:space="0" w:color="000000"/>
              <w:bottom w:val="single" w:sz="4" w:space="0" w:color="000000"/>
              <w:right w:val="single" w:sz="4" w:space="0" w:color="000000"/>
            </w:tcBorders>
          </w:tcPr>
          <w:p w:rsidR="00B248CA" w:rsidRDefault="00B248CA" w:rsidP="00715E70">
            <w:pPr>
              <w:autoSpaceDE w:val="0"/>
              <w:autoSpaceDN w:val="0"/>
              <w:adjustRightInd w:val="0"/>
              <w:rPr>
                <w:rFonts w:cs="Calibri"/>
                <w:sz w:val="20"/>
                <w:szCs w:val="20"/>
              </w:rPr>
            </w:pPr>
          </w:p>
          <w:p w:rsidR="00B248CA" w:rsidRPr="004228FD" w:rsidRDefault="00B248CA" w:rsidP="00715E70">
            <w:pPr>
              <w:autoSpaceDE w:val="0"/>
              <w:autoSpaceDN w:val="0"/>
              <w:adjustRightInd w:val="0"/>
              <w:rPr>
                <w:rFonts w:asciiTheme="minorHAnsi" w:hAnsiTheme="minorHAnsi" w:cstheme="minorHAnsi"/>
                <w:sz w:val="20"/>
                <w:szCs w:val="20"/>
              </w:rPr>
            </w:pPr>
            <w:r>
              <w:rPr>
                <w:sz w:val="20"/>
              </w:rPr>
              <w:t>Convention de service</w:t>
            </w:r>
          </w:p>
          <w:p w:rsidR="00B248CA" w:rsidRPr="004228FD" w:rsidRDefault="00B248CA" w:rsidP="00715E70">
            <w:pPr>
              <w:autoSpaceDE w:val="0"/>
              <w:autoSpaceDN w:val="0"/>
              <w:adjustRightInd w:val="0"/>
              <w:rPr>
                <w:rFonts w:asciiTheme="minorHAnsi" w:hAnsiTheme="minorHAnsi" w:cstheme="minorHAnsi"/>
                <w:sz w:val="20"/>
                <w:szCs w:val="20"/>
              </w:rPr>
            </w:pPr>
          </w:p>
          <w:p w:rsidR="00B248CA" w:rsidRPr="004228FD" w:rsidRDefault="00B248CA" w:rsidP="00715E70">
            <w:pPr>
              <w:rPr>
                <w:rFonts w:asciiTheme="minorHAnsi" w:hAnsiTheme="minorHAnsi" w:cstheme="minorHAnsi"/>
                <w:sz w:val="20"/>
                <w:szCs w:val="20"/>
              </w:rPr>
            </w:pPr>
          </w:p>
          <w:p w:rsidR="00B248CA" w:rsidRPr="004228FD" w:rsidRDefault="00B248CA" w:rsidP="00715E70">
            <w:pPr>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AF6FB2">
            <w:pPr>
              <w:rPr>
                <w:rFonts w:cs="Calibri"/>
                <w:sz w:val="20"/>
                <w:szCs w:val="20"/>
              </w:rPr>
            </w:pPr>
            <w:r>
              <w:rPr>
                <w:sz w:val="20"/>
              </w:rPr>
              <w:t xml:space="preserve">La convention de service signée entre l’organisme de service et la famille hôte ne prévoit pas </w:t>
            </w:r>
            <w:r w:rsidR="00AF6FB2" w:rsidRPr="00AF6FB2">
              <w:rPr>
                <w:sz w:val="20"/>
              </w:rPr>
              <w:t xml:space="preserve">la réalisation des composantes </w:t>
            </w:r>
            <w:r>
              <w:rPr>
                <w:sz w:val="20"/>
              </w:rPr>
              <w:t>du plan de soutien individualisé.</w:t>
            </w:r>
          </w:p>
        </w:tc>
        <w:tc>
          <w:tcPr>
            <w:tcW w:w="636"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228FD" w:rsidRDefault="00B248CA" w:rsidP="00715E70">
            <w:pPr>
              <w:rPr>
                <w:rFonts w:cs="Calibri"/>
                <w:sz w:val="20"/>
                <w:szCs w:val="20"/>
              </w:rPr>
            </w:pPr>
            <w:r>
              <w:rPr>
                <w:sz w:val="20"/>
              </w:rPr>
              <w:t>Une lettre ou un document confirmant que la mesure corrective a été menée à bien.</w:t>
            </w:r>
          </w:p>
          <w:p w:rsidR="00B248CA" w:rsidRPr="004228FD" w:rsidRDefault="00B248CA" w:rsidP="00715E70">
            <w:pPr>
              <w:rPr>
                <w:rFonts w:cs="Calibri"/>
                <w:sz w:val="20"/>
                <w:szCs w:val="20"/>
              </w:rPr>
            </w:pPr>
          </w:p>
          <w:p w:rsidR="00B248CA" w:rsidRPr="004228FD" w:rsidRDefault="00B248CA" w:rsidP="00715E70">
            <w:pPr>
              <w:rPr>
                <w:rFonts w:cs="Calibri"/>
                <w:sz w:val="20"/>
                <w:szCs w:val="20"/>
              </w:rPr>
            </w:pPr>
          </w:p>
        </w:tc>
      </w:tr>
    </w:tbl>
    <w:p w:rsidR="00B248CA" w:rsidRPr="0081122E" w:rsidRDefault="00B248CA" w:rsidP="00B248CA">
      <w:pPr>
        <w:rPr>
          <w:rFonts w:cs="Calibri"/>
          <w:sz w:val="20"/>
          <w:szCs w:val="20"/>
        </w:rPr>
        <w:sectPr w:rsidR="00B248CA" w:rsidRPr="0081122E" w:rsidSect="0049355F">
          <w:pgSz w:w="15840" w:h="12240" w:orient="landscape" w:code="1"/>
          <w:pgMar w:top="2200" w:right="480" w:bottom="420" w:left="500" w:header="600" w:footer="230" w:gutter="0"/>
          <w:cols w:space="720"/>
          <w:docGrid w:linePitch="299"/>
        </w:sectPr>
      </w:pPr>
    </w:p>
    <w:p w:rsidR="00B248CA" w:rsidRPr="0081122E" w:rsidRDefault="00B248CA" w:rsidP="00B248CA">
      <w:pPr>
        <w:spacing w:line="110" w:lineRule="exact"/>
        <w:rPr>
          <w:rFonts w:cs="Calibri"/>
          <w:sz w:val="20"/>
          <w:szCs w:val="20"/>
        </w:rPr>
      </w:pPr>
    </w:p>
    <w:p w:rsidR="00B248CA" w:rsidRPr="0081122E" w:rsidRDefault="00B248CA" w:rsidP="00B248CA">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25"/>
        <w:gridCol w:w="3141"/>
        <w:gridCol w:w="1350"/>
        <w:gridCol w:w="2385"/>
        <w:gridCol w:w="2578"/>
        <w:gridCol w:w="1891"/>
      </w:tblGrid>
      <w:tr w:rsidR="00B248CA" w:rsidRPr="0081122E" w:rsidTr="00715E70">
        <w:trPr>
          <w:trHeight w:val="960"/>
        </w:trPr>
        <w:tc>
          <w:tcPr>
            <w:tcW w:w="1185"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spacing w:before="8" w:line="180" w:lineRule="exact"/>
              <w:rPr>
                <w:rFonts w:cs="Calibri"/>
              </w:rPr>
            </w:pPr>
          </w:p>
          <w:p w:rsidR="00B248CA" w:rsidRPr="00C706A7" w:rsidRDefault="00B248CA" w:rsidP="00715E70">
            <w:pPr>
              <w:pStyle w:val="Heading1"/>
              <w:jc w:val="center"/>
              <w:rPr>
                <w:rFonts w:asciiTheme="minorHAnsi" w:hAnsiTheme="minorHAnsi" w:cstheme="minorHAnsi"/>
                <w:b w:val="0"/>
                <w:sz w:val="24"/>
              </w:rPr>
            </w:pPr>
            <w:bookmarkStart w:id="2" w:name="_Toc399481999"/>
            <w:r>
              <w:rPr>
                <w:rFonts w:asciiTheme="minorHAnsi" w:hAnsiTheme="minorHAnsi" w:cstheme="minorHAnsi"/>
                <w:sz w:val="24"/>
              </w:rPr>
              <w:t>Dossiers et documents</w:t>
            </w:r>
            <w:bookmarkEnd w:id="2"/>
          </w:p>
          <w:p w:rsidR="00B248CA" w:rsidRPr="00F71B89" w:rsidRDefault="00B248CA" w:rsidP="00715E70">
            <w:pPr>
              <w:jc w:val="center"/>
              <w:rPr>
                <w:rFonts w:cs="Calibri"/>
              </w:rPr>
            </w:pPr>
          </w:p>
        </w:tc>
        <w:tc>
          <w:tcPr>
            <w:tcW w:w="1056"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jc w:val="center"/>
              <w:rPr>
                <w:rFonts w:cs="Calibri"/>
                <w:b/>
              </w:rPr>
            </w:pPr>
          </w:p>
          <w:p w:rsidR="00B248CA" w:rsidRPr="00F71B89" w:rsidRDefault="00B248CA" w:rsidP="00715E70">
            <w:pPr>
              <w:pStyle w:val="TableParagraph"/>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jc w:val="center"/>
              <w:rPr>
                <w:rFonts w:cs="Calibri"/>
                <w:b/>
              </w:rPr>
            </w:pPr>
          </w:p>
          <w:p w:rsidR="00B248CA" w:rsidRPr="00F71B89" w:rsidRDefault="00B248CA" w:rsidP="00715E70">
            <w:pPr>
              <w:jc w:val="center"/>
              <w:rPr>
                <w:rFonts w:cs="Calibri"/>
              </w:rPr>
            </w:pPr>
            <w:r>
              <w:rPr>
                <w:b/>
              </w:rPr>
              <w:t>Risque</w:t>
            </w:r>
          </w:p>
        </w:tc>
        <w:tc>
          <w:tcPr>
            <w:tcW w:w="802"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spacing w:line="200" w:lineRule="exact"/>
              <w:jc w:val="center"/>
              <w:rPr>
                <w:rFonts w:cs="Calibri"/>
              </w:rPr>
            </w:pPr>
          </w:p>
          <w:p w:rsidR="00B248CA" w:rsidRPr="00F71B89" w:rsidRDefault="00B248CA" w:rsidP="00715E70">
            <w:pPr>
              <w:spacing w:line="200" w:lineRule="exact"/>
              <w:jc w:val="center"/>
              <w:rPr>
                <w:rFonts w:cs="Calibri"/>
                <w:b/>
              </w:rPr>
            </w:pPr>
          </w:p>
          <w:p w:rsidR="00B248CA" w:rsidRPr="00F71B89" w:rsidRDefault="00B248CA" w:rsidP="00715E70">
            <w:pPr>
              <w:spacing w:line="200" w:lineRule="exact"/>
              <w:jc w:val="center"/>
              <w:rPr>
                <w:rFonts w:cs="Calibri"/>
              </w:rPr>
            </w:pPr>
            <w:r>
              <w:rPr>
                <w:b/>
              </w:rPr>
              <w:t>Indicateur</w:t>
            </w:r>
          </w:p>
          <w:p w:rsidR="00B248CA" w:rsidRPr="00F71B89" w:rsidRDefault="00B248CA" w:rsidP="00715E70">
            <w:pPr>
              <w:rPr>
                <w:rFonts w:cs="Calibri"/>
              </w:rPr>
            </w:pPr>
          </w:p>
        </w:tc>
        <w:tc>
          <w:tcPr>
            <w:tcW w:w="867"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jc w:val="center"/>
              <w:rPr>
                <w:rFonts w:cs="Calibri"/>
                <w:b/>
              </w:rPr>
            </w:pPr>
          </w:p>
          <w:p w:rsidR="00B248CA" w:rsidRPr="00F71B89" w:rsidRDefault="00B248CA" w:rsidP="00715E70">
            <w:pPr>
              <w:jc w:val="center"/>
              <w:rPr>
                <w:rFonts w:cs="Calibri"/>
                <w:b/>
              </w:rPr>
            </w:pPr>
            <w:r>
              <w:rPr>
                <w:b/>
              </w:rPr>
              <w:t>Non-conformité constatée</w:t>
            </w:r>
          </w:p>
        </w:tc>
        <w:tc>
          <w:tcPr>
            <w:tcW w:w="636"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jc w:val="center"/>
              <w:rPr>
                <w:rFonts w:cs="Calibri"/>
                <w:b/>
              </w:rPr>
            </w:pPr>
          </w:p>
          <w:p w:rsidR="00B248CA" w:rsidRPr="00F71B89" w:rsidRDefault="00B248CA" w:rsidP="00715E70">
            <w:pPr>
              <w:jc w:val="center"/>
              <w:rPr>
                <w:rFonts w:cs="Calibri"/>
              </w:rPr>
            </w:pPr>
            <w:r>
              <w:rPr>
                <w:b/>
              </w:rPr>
              <w:t>Exigence de conformité</w:t>
            </w:r>
          </w:p>
        </w:tc>
      </w:tr>
      <w:tr w:rsidR="00B248CA" w:rsidRPr="0081122E" w:rsidTr="00715E70">
        <w:trPr>
          <w:trHeight w:hRule="exact" w:val="7818"/>
        </w:trPr>
        <w:tc>
          <w:tcPr>
            <w:tcW w:w="1185"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pStyle w:val="TableParagraph"/>
              <w:spacing w:before="48"/>
              <w:rPr>
                <w:rFonts w:cs="Calibri"/>
                <w:sz w:val="20"/>
                <w:szCs w:val="20"/>
              </w:rPr>
            </w:pPr>
          </w:p>
          <w:p w:rsidR="00B248CA" w:rsidRPr="0081122E" w:rsidRDefault="00B248CA" w:rsidP="00715E70">
            <w:pPr>
              <w:pStyle w:val="TableParagraph"/>
              <w:spacing w:before="48"/>
              <w:rPr>
                <w:rFonts w:cs="Calibri"/>
                <w:sz w:val="20"/>
                <w:szCs w:val="20"/>
              </w:rPr>
            </w:pPr>
            <w:r>
              <w:rPr>
                <w:sz w:val="20"/>
              </w:rPr>
              <w:t>76. Convention de service, registres financiers</w:t>
            </w:r>
          </w:p>
          <w:p w:rsidR="00B248CA" w:rsidRPr="0081122E" w:rsidRDefault="00B248CA" w:rsidP="00715E70">
            <w:pPr>
              <w:pStyle w:val="TableParagraph"/>
              <w:spacing w:before="7" w:line="190" w:lineRule="exact"/>
              <w:rPr>
                <w:rFonts w:cs="Calibri"/>
                <w:sz w:val="20"/>
                <w:szCs w:val="20"/>
              </w:rPr>
            </w:pPr>
          </w:p>
          <w:p w:rsidR="00B248CA" w:rsidRDefault="00B248CA" w:rsidP="00715E70">
            <w:pPr>
              <w:widowControl/>
              <w:rPr>
                <w:rFonts w:cs="Calibri"/>
                <w:sz w:val="20"/>
                <w:szCs w:val="20"/>
              </w:rPr>
            </w:pPr>
            <w:r>
              <w:rPr>
                <w:sz w:val="20"/>
              </w:rPr>
              <w:t xml:space="preserve">Les organismes de service doivent, pour chaque placement, signer avec la famille hôte une convention qui aborde les rôles et les responsabilités de la famille hôte, notamment pour ce qui est de tenir des registres financiers et administratifs. </w:t>
            </w:r>
          </w:p>
          <w:p w:rsidR="00B248CA" w:rsidRDefault="00B248CA" w:rsidP="00715E70">
            <w:pPr>
              <w:widowControl/>
              <w:rPr>
                <w:rFonts w:cs="Calibri"/>
                <w:sz w:val="20"/>
                <w:szCs w:val="20"/>
              </w:rPr>
            </w:pPr>
          </w:p>
          <w:p w:rsidR="00B248CA" w:rsidRPr="00F71B89" w:rsidRDefault="00B248CA" w:rsidP="00715E70">
            <w:pPr>
              <w:widowControl/>
              <w:rPr>
                <w:rFonts w:cs="Calibri"/>
                <w:sz w:val="16"/>
                <w:szCs w:val="16"/>
              </w:rPr>
            </w:pPr>
            <w:r>
              <w:rPr>
                <w:sz w:val="20"/>
              </w:rPr>
              <w:t>Directives en matière de politique s’appliquant aux organismes de service en ce qui a trait au Programme de placement en famille hôte 2.0</w:t>
            </w:r>
          </w:p>
          <w:p w:rsidR="00B248CA" w:rsidRPr="0081122E" w:rsidRDefault="00B248CA" w:rsidP="00715E70">
            <w:pPr>
              <w:rPr>
                <w:rFonts w:cs="Calibri"/>
                <w:sz w:val="20"/>
                <w:szCs w:val="20"/>
              </w:rPr>
            </w:pPr>
          </w:p>
          <w:p w:rsidR="00B248CA" w:rsidRPr="0081122E" w:rsidRDefault="00B248CA" w:rsidP="00715E70">
            <w:pPr>
              <w:rPr>
                <w:rFonts w:cs="Calibri"/>
                <w:sz w:val="20"/>
                <w:szCs w:val="20"/>
              </w:rPr>
            </w:pPr>
          </w:p>
          <w:p w:rsidR="00B248CA" w:rsidRPr="0081122E" w:rsidRDefault="00B248CA" w:rsidP="00715E70">
            <w:pPr>
              <w:pStyle w:val="TableParagraph"/>
              <w:spacing w:line="200" w:lineRule="exact"/>
              <w:ind w:left="35" w:right="38"/>
              <w:rPr>
                <w:rFonts w:cs="Calibri"/>
                <w:sz w:val="20"/>
                <w:szCs w:val="20"/>
              </w:rPr>
            </w:pPr>
          </w:p>
        </w:tc>
        <w:tc>
          <w:tcPr>
            <w:tcW w:w="1056" w:type="pct"/>
            <w:tcBorders>
              <w:top w:val="single" w:sz="4" w:space="0" w:color="000000"/>
              <w:left w:val="single" w:sz="4" w:space="0" w:color="000000"/>
              <w:bottom w:val="single" w:sz="4" w:space="0" w:color="000000"/>
              <w:right w:val="single" w:sz="4" w:space="0" w:color="000000"/>
            </w:tcBorders>
          </w:tcPr>
          <w:p w:rsidR="00B248CA" w:rsidRDefault="00B248CA" w:rsidP="00715E70">
            <w:pPr>
              <w:autoSpaceDE w:val="0"/>
              <w:autoSpaceDN w:val="0"/>
              <w:adjustRightInd w:val="0"/>
              <w:rPr>
                <w:rFonts w:cs="Calibri"/>
                <w:sz w:val="20"/>
                <w:szCs w:val="20"/>
              </w:rPr>
            </w:pPr>
          </w:p>
          <w:p w:rsidR="00B248CA" w:rsidRDefault="00B248CA" w:rsidP="00715E70">
            <w:pPr>
              <w:autoSpaceDE w:val="0"/>
              <w:autoSpaceDN w:val="0"/>
              <w:adjustRightInd w:val="0"/>
              <w:rPr>
                <w:sz w:val="20"/>
                <w:szCs w:val="20"/>
              </w:rPr>
            </w:pPr>
            <w:r>
              <w:rPr>
                <w:sz w:val="20"/>
              </w:rPr>
              <w:t>Afin d’encourager une compréhension commune du placement en famille hôte, les organismes sont tenus de signer avec la famille hôte une convention qui décrit les attentes de l’organisme à l’égard de la famille hôte et les activités de soutien et de supervision réalisées par l’organisme.</w:t>
            </w:r>
          </w:p>
          <w:p w:rsidR="00B248CA" w:rsidRDefault="00B248CA" w:rsidP="00715E70">
            <w:pPr>
              <w:autoSpaceDE w:val="0"/>
              <w:autoSpaceDN w:val="0"/>
              <w:adjustRightInd w:val="0"/>
              <w:rPr>
                <w:rFonts w:cs="Calibri"/>
                <w:sz w:val="20"/>
                <w:szCs w:val="20"/>
              </w:rPr>
            </w:pPr>
          </w:p>
          <w:p w:rsidR="00B248CA" w:rsidRDefault="00B248CA" w:rsidP="00715E70">
            <w:pPr>
              <w:autoSpaceDE w:val="0"/>
              <w:autoSpaceDN w:val="0"/>
              <w:adjustRightInd w:val="0"/>
              <w:rPr>
                <w:rFonts w:cs="Calibri"/>
                <w:sz w:val="20"/>
                <w:szCs w:val="20"/>
              </w:rPr>
            </w:pPr>
            <w:r>
              <w:rPr>
                <w:sz w:val="20"/>
              </w:rPr>
              <w:t>La convention de service signée doit préciser que la famille hôte tient des registres financiers et administratifs.</w:t>
            </w:r>
          </w:p>
          <w:p w:rsidR="00B248CA" w:rsidRDefault="00B248CA" w:rsidP="00715E70">
            <w:pPr>
              <w:autoSpaceDE w:val="0"/>
              <w:autoSpaceDN w:val="0"/>
              <w:adjustRightInd w:val="0"/>
              <w:rPr>
                <w:rFonts w:cs="Calibri"/>
                <w:sz w:val="20"/>
                <w:szCs w:val="20"/>
              </w:rPr>
            </w:pPr>
          </w:p>
          <w:p w:rsidR="00B248CA" w:rsidRDefault="00B248CA" w:rsidP="00715E70">
            <w:pPr>
              <w:autoSpaceDE w:val="0"/>
              <w:autoSpaceDN w:val="0"/>
              <w:adjustRightInd w:val="0"/>
              <w:rPr>
                <w:rFonts w:cs="Calibri"/>
                <w:sz w:val="20"/>
                <w:szCs w:val="20"/>
              </w:rPr>
            </w:pPr>
          </w:p>
          <w:p w:rsidR="00B248CA" w:rsidRDefault="00B248CA" w:rsidP="00715E70">
            <w:pPr>
              <w:autoSpaceDE w:val="0"/>
              <w:autoSpaceDN w:val="0"/>
              <w:adjustRightInd w:val="0"/>
              <w:rPr>
                <w:rFonts w:cs="Calibri"/>
                <w:sz w:val="20"/>
                <w:szCs w:val="20"/>
              </w:rPr>
            </w:pPr>
          </w:p>
          <w:p w:rsidR="00B248CA" w:rsidRDefault="00B248CA" w:rsidP="00715E70">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jc w:val="center"/>
              <w:rPr>
                <w:rFonts w:cs="Calibri"/>
                <w:sz w:val="20"/>
                <w:szCs w:val="20"/>
              </w:rPr>
            </w:pPr>
            <w:r>
              <w:rPr>
                <w:sz w:val="20"/>
              </w:rPr>
              <w:t>MODÉRÉ</w:t>
            </w:r>
          </w:p>
        </w:tc>
        <w:tc>
          <w:tcPr>
            <w:tcW w:w="802" w:type="pct"/>
            <w:tcBorders>
              <w:top w:val="single" w:sz="4" w:space="0" w:color="000000"/>
              <w:left w:val="single" w:sz="4" w:space="0" w:color="000000"/>
              <w:bottom w:val="single" w:sz="4" w:space="0" w:color="000000"/>
              <w:right w:val="single" w:sz="4" w:space="0" w:color="000000"/>
            </w:tcBorders>
          </w:tcPr>
          <w:p w:rsidR="00B248CA" w:rsidRDefault="00B248CA" w:rsidP="00715E70">
            <w:pPr>
              <w:autoSpaceDE w:val="0"/>
              <w:autoSpaceDN w:val="0"/>
              <w:adjustRightInd w:val="0"/>
              <w:rPr>
                <w:rFonts w:cs="Calibri"/>
                <w:sz w:val="20"/>
                <w:szCs w:val="20"/>
              </w:rPr>
            </w:pPr>
          </w:p>
          <w:p w:rsidR="00B248CA" w:rsidRDefault="00B248CA" w:rsidP="00715E70">
            <w:pPr>
              <w:autoSpaceDE w:val="0"/>
              <w:autoSpaceDN w:val="0"/>
              <w:adjustRightInd w:val="0"/>
              <w:rPr>
                <w:rFonts w:cs="Calibri"/>
                <w:sz w:val="20"/>
                <w:szCs w:val="20"/>
              </w:rPr>
            </w:pPr>
            <w:r>
              <w:rPr>
                <w:sz w:val="20"/>
              </w:rPr>
              <w:t>Convention de service</w:t>
            </w:r>
            <w:r w:rsidR="00AF6FB2">
              <w:rPr>
                <w:sz w:val="20"/>
              </w:rPr>
              <w:t>.</w:t>
            </w:r>
          </w:p>
          <w:p w:rsidR="00B248CA" w:rsidRDefault="00B248CA" w:rsidP="00715E70">
            <w:pPr>
              <w:autoSpaceDE w:val="0"/>
              <w:autoSpaceDN w:val="0"/>
              <w:adjustRightInd w:val="0"/>
              <w:rPr>
                <w:rFonts w:asciiTheme="minorHAnsi" w:hAnsiTheme="minorHAnsi" w:cstheme="minorHAnsi"/>
                <w:sz w:val="20"/>
                <w:szCs w:val="20"/>
              </w:rPr>
            </w:pPr>
            <w:r>
              <w:rPr>
                <w:sz w:val="20"/>
              </w:rPr>
              <w:t>Registres financiers</w:t>
            </w:r>
            <w:r w:rsidR="00AF6FB2">
              <w:rPr>
                <w:sz w:val="20"/>
              </w:rPr>
              <w:t>.</w:t>
            </w:r>
          </w:p>
          <w:p w:rsidR="00B248CA" w:rsidRPr="00F71B89" w:rsidRDefault="00B248CA" w:rsidP="00715E70">
            <w:pPr>
              <w:autoSpaceDE w:val="0"/>
              <w:autoSpaceDN w:val="0"/>
              <w:adjustRightInd w:val="0"/>
              <w:rPr>
                <w:rFonts w:asciiTheme="minorHAnsi" w:hAnsiTheme="minorHAnsi" w:cstheme="minorHAnsi"/>
                <w:sz w:val="20"/>
                <w:szCs w:val="20"/>
              </w:rPr>
            </w:pPr>
          </w:p>
          <w:p w:rsidR="00B248CA" w:rsidRPr="00F71B89" w:rsidRDefault="00B248CA" w:rsidP="00715E70">
            <w:pPr>
              <w:rPr>
                <w:rFonts w:asciiTheme="minorHAnsi" w:hAnsiTheme="minorHAnsi" w:cstheme="minorHAnsi"/>
                <w:sz w:val="20"/>
                <w:szCs w:val="20"/>
              </w:rPr>
            </w:pPr>
          </w:p>
          <w:p w:rsidR="00B248CA" w:rsidRPr="0081122E" w:rsidRDefault="00B248CA" w:rsidP="00715E70">
            <w:pPr>
              <w:pStyle w:val="ListParagraph"/>
              <w:rPr>
                <w:rFonts w:cs="Calibri"/>
                <w:sz w:val="20"/>
                <w:szCs w:val="20"/>
              </w:rPr>
            </w:pPr>
          </w:p>
        </w:tc>
        <w:tc>
          <w:tcPr>
            <w:tcW w:w="867"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La convention de service signée entre l’organisme de service et la famille hôte ne prévoit pas le fait de tenir des registres financiers et administratifs.</w:t>
            </w:r>
          </w:p>
        </w:tc>
        <w:tc>
          <w:tcPr>
            <w:tcW w:w="636"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Une lettre ou un document confirmant que la mesure corrective a été menée à bien.</w:t>
            </w:r>
          </w:p>
          <w:p w:rsidR="00B248CA" w:rsidRDefault="00B248CA" w:rsidP="00715E70">
            <w:pPr>
              <w:rPr>
                <w:rFonts w:cs="Calibri"/>
                <w:sz w:val="20"/>
                <w:szCs w:val="20"/>
              </w:rPr>
            </w:pPr>
          </w:p>
          <w:p w:rsidR="00B248CA" w:rsidRPr="0081122E" w:rsidRDefault="00B248CA" w:rsidP="00715E70">
            <w:pPr>
              <w:rPr>
                <w:rFonts w:cs="Calibri"/>
                <w:sz w:val="20"/>
                <w:szCs w:val="20"/>
              </w:rPr>
            </w:pPr>
          </w:p>
        </w:tc>
      </w:tr>
    </w:tbl>
    <w:p w:rsidR="00B248CA" w:rsidRPr="0081122E" w:rsidRDefault="00B248CA" w:rsidP="00B248CA">
      <w:pPr>
        <w:rPr>
          <w:rFonts w:cs="Calibri"/>
          <w:sz w:val="20"/>
          <w:szCs w:val="20"/>
        </w:rPr>
        <w:sectPr w:rsidR="00B248CA" w:rsidRPr="0081122E" w:rsidSect="0049355F">
          <w:pgSz w:w="15840" w:h="12240" w:orient="landscape" w:code="1"/>
          <w:pgMar w:top="2200" w:right="480" w:bottom="420" w:left="500" w:header="600" w:footer="230" w:gutter="0"/>
          <w:cols w:space="720"/>
          <w:docGrid w:linePitch="299"/>
        </w:sectPr>
      </w:pPr>
    </w:p>
    <w:p w:rsidR="00B248CA" w:rsidRPr="0081122E" w:rsidRDefault="00B248CA" w:rsidP="00B248CA">
      <w:pPr>
        <w:spacing w:line="110" w:lineRule="exact"/>
        <w:rPr>
          <w:rFonts w:cs="Calibri"/>
          <w:sz w:val="20"/>
          <w:szCs w:val="20"/>
        </w:rPr>
      </w:pPr>
    </w:p>
    <w:p w:rsidR="00B248CA" w:rsidRPr="0081122E" w:rsidRDefault="00B248CA" w:rsidP="00B248CA">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16"/>
        <w:gridCol w:w="3152"/>
        <w:gridCol w:w="1350"/>
        <w:gridCol w:w="2427"/>
        <w:gridCol w:w="2519"/>
        <w:gridCol w:w="1906"/>
      </w:tblGrid>
      <w:tr w:rsidR="00B248CA" w:rsidRPr="0081122E" w:rsidTr="00715E70">
        <w:trPr>
          <w:trHeight w:val="960"/>
          <w:tblHeader/>
        </w:trPr>
        <w:tc>
          <w:tcPr>
            <w:tcW w:w="1182"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spacing w:before="8" w:line="180" w:lineRule="exact"/>
              <w:rPr>
                <w:rFonts w:cs="Calibri"/>
              </w:rPr>
            </w:pPr>
          </w:p>
          <w:p w:rsidR="00B248CA" w:rsidRPr="00F71B89" w:rsidRDefault="00B248CA" w:rsidP="00715E70">
            <w:pPr>
              <w:pStyle w:val="TableParagraph"/>
              <w:spacing w:line="200" w:lineRule="exact"/>
              <w:rPr>
                <w:rFonts w:cs="Calibri"/>
              </w:rPr>
            </w:pPr>
          </w:p>
          <w:p w:rsidR="00B248CA" w:rsidRPr="00F71B89" w:rsidRDefault="00B248CA" w:rsidP="00715E70">
            <w:pPr>
              <w:pStyle w:val="TableParagraph"/>
              <w:jc w:val="center"/>
              <w:rPr>
                <w:rFonts w:cs="Calibri"/>
                <w:b/>
              </w:rPr>
            </w:pPr>
            <w:r>
              <w:rPr>
                <w:b/>
              </w:rPr>
              <w:t>Dossiers et documents</w:t>
            </w:r>
          </w:p>
          <w:p w:rsidR="00B248CA" w:rsidRPr="00F71B89" w:rsidRDefault="00B248CA" w:rsidP="00715E70">
            <w:pPr>
              <w:pStyle w:val="TableParagraph"/>
              <w:jc w:val="center"/>
              <w:rPr>
                <w:rFonts w:cs="Calibri"/>
              </w:rPr>
            </w:pPr>
          </w:p>
        </w:tc>
        <w:tc>
          <w:tcPr>
            <w:tcW w:w="1060"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jc w:val="center"/>
              <w:rPr>
                <w:rFonts w:cs="Calibri"/>
                <w:b/>
              </w:rPr>
            </w:pPr>
          </w:p>
          <w:p w:rsidR="00B248CA" w:rsidRPr="00F71B89" w:rsidRDefault="00B248CA" w:rsidP="00715E70">
            <w:pPr>
              <w:pStyle w:val="TableParagraph"/>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jc w:val="center"/>
              <w:rPr>
                <w:rFonts w:cs="Calibri"/>
                <w:b/>
              </w:rPr>
            </w:pPr>
          </w:p>
          <w:p w:rsidR="00B248CA" w:rsidRPr="00F71B89" w:rsidRDefault="00B248CA" w:rsidP="00715E70">
            <w:pPr>
              <w:jc w:val="center"/>
              <w:rPr>
                <w:rFonts w:cs="Calibri"/>
              </w:rPr>
            </w:pPr>
            <w:r>
              <w:rPr>
                <w:b/>
              </w:rPr>
              <w:t>Risque</w:t>
            </w:r>
          </w:p>
        </w:tc>
        <w:tc>
          <w:tcPr>
            <w:tcW w:w="816"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spacing w:line="200" w:lineRule="exact"/>
              <w:jc w:val="center"/>
              <w:rPr>
                <w:rFonts w:cs="Calibri"/>
              </w:rPr>
            </w:pPr>
          </w:p>
          <w:p w:rsidR="00B248CA" w:rsidRPr="00F71B89" w:rsidRDefault="00B248CA" w:rsidP="00715E70">
            <w:pPr>
              <w:spacing w:line="200" w:lineRule="exact"/>
              <w:jc w:val="center"/>
              <w:rPr>
                <w:rFonts w:cs="Calibri"/>
                <w:b/>
              </w:rPr>
            </w:pPr>
          </w:p>
          <w:p w:rsidR="00B248CA" w:rsidRPr="00F71B89" w:rsidRDefault="00B248CA" w:rsidP="00715E70">
            <w:pPr>
              <w:spacing w:line="200" w:lineRule="exact"/>
              <w:jc w:val="center"/>
              <w:rPr>
                <w:rFonts w:cs="Calibri"/>
              </w:rPr>
            </w:pPr>
            <w:r>
              <w:rPr>
                <w:b/>
              </w:rPr>
              <w:t>Indicateur</w:t>
            </w:r>
          </w:p>
          <w:p w:rsidR="00B248CA" w:rsidRPr="00F71B89" w:rsidRDefault="00B248CA" w:rsidP="00715E70">
            <w:pPr>
              <w:rPr>
                <w:rFonts w:cs="Calibri"/>
              </w:rPr>
            </w:pPr>
          </w:p>
        </w:tc>
        <w:tc>
          <w:tcPr>
            <w:tcW w:w="847"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jc w:val="center"/>
              <w:rPr>
                <w:rFonts w:cs="Calibri"/>
                <w:b/>
              </w:rPr>
            </w:pPr>
          </w:p>
          <w:p w:rsidR="00B248CA" w:rsidRPr="00F71B89" w:rsidRDefault="00B248CA" w:rsidP="00715E70">
            <w:pPr>
              <w:jc w:val="center"/>
              <w:rPr>
                <w:rFonts w:cs="Calibri"/>
                <w:b/>
              </w:rPr>
            </w:pPr>
            <w:r>
              <w:rPr>
                <w:b/>
              </w:rPr>
              <w:t>Non-conformité constatée</w:t>
            </w:r>
          </w:p>
        </w:tc>
        <w:tc>
          <w:tcPr>
            <w:tcW w:w="641"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jc w:val="center"/>
              <w:rPr>
                <w:rFonts w:cs="Calibri"/>
                <w:b/>
              </w:rPr>
            </w:pPr>
          </w:p>
          <w:p w:rsidR="00B248CA" w:rsidRPr="00F71B89" w:rsidRDefault="00B248CA" w:rsidP="00715E70">
            <w:pPr>
              <w:jc w:val="center"/>
              <w:rPr>
                <w:rFonts w:cs="Calibri"/>
              </w:rPr>
            </w:pPr>
            <w:r>
              <w:rPr>
                <w:b/>
              </w:rPr>
              <w:t>Exigence de conformité</w:t>
            </w:r>
          </w:p>
        </w:tc>
      </w:tr>
      <w:tr w:rsidR="00B248CA" w:rsidRPr="0081122E" w:rsidTr="00715E70">
        <w:trPr>
          <w:trHeight w:hRule="exact" w:val="6288"/>
        </w:trPr>
        <w:tc>
          <w:tcPr>
            <w:tcW w:w="1182"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pStyle w:val="TableParagraph"/>
              <w:spacing w:before="48" w:after="60"/>
              <w:rPr>
                <w:rFonts w:cs="Calibri"/>
                <w:sz w:val="20"/>
                <w:szCs w:val="20"/>
              </w:rPr>
            </w:pPr>
          </w:p>
          <w:p w:rsidR="00B248CA" w:rsidRPr="0081122E" w:rsidRDefault="00B248CA" w:rsidP="00715E70">
            <w:pPr>
              <w:pStyle w:val="TableParagraph"/>
              <w:spacing w:before="48" w:after="60"/>
              <w:rPr>
                <w:rFonts w:cs="Calibri"/>
                <w:sz w:val="20"/>
                <w:szCs w:val="20"/>
              </w:rPr>
            </w:pPr>
            <w:r>
              <w:rPr>
                <w:sz w:val="20"/>
              </w:rPr>
              <w:t>77. Convention de service, activités de formation continues</w:t>
            </w:r>
          </w:p>
          <w:p w:rsidR="00B248CA" w:rsidRPr="0081122E" w:rsidRDefault="00B248CA" w:rsidP="00715E70">
            <w:pPr>
              <w:pStyle w:val="TableParagraph"/>
              <w:spacing w:before="7" w:line="190" w:lineRule="exact"/>
              <w:rPr>
                <w:rFonts w:cs="Calibri"/>
                <w:sz w:val="20"/>
                <w:szCs w:val="20"/>
              </w:rPr>
            </w:pPr>
          </w:p>
          <w:p w:rsidR="00B248CA" w:rsidRDefault="00B248CA" w:rsidP="00715E70">
            <w:pPr>
              <w:pStyle w:val="TableParagraph"/>
              <w:spacing w:line="200" w:lineRule="exact"/>
              <w:ind w:left="35" w:right="38"/>
              <w:rPr>
                <w:rFonts w:cs="Calibri"/>
                <w:sz w:val="20"/>
                <w:szCs w:val="20"/>
              </w:rPr>
            </w:pPr>
            <w:r>
              <w:rPr>
                <w:sz w:val="20"/>
              </w:rPr>
              <w:t xml:space="preserve">Les organismes de service doivent, pour chaque placement, signer avec la famille hôte une convention qui aborde les rôles et les responsabilités de la famille hôte, notamment pour ce qui est de participer aux séances de formation et aux examens initiaux et continus avec l’organisme de service au moins une fois par an. </w:t>
            </w:r>
          </w:p>
          <w:p w:rsidR="00B248CA" w:rsidRDefault="00B248CA" w:rsidP="00715E70">
            <w:pPr>
              <w:pStyle w:val="TableParagraph"/>
              <w:spacing w:line="200" w:lineRule="exact"/>
              <w:ind w:left="35" w:right="38"/>
              <w:rPr>
                <w:rFonts w:cs="Calibri"/>
                <w:sz w:val="20"/>
                <w:szCs w:val="20"/>
              </w:rPr>
            </w:pPr>
          </w:p>
          <w:p w:rsidR="00B248CA" w:rsidRDefault="00B248CA" w:rsidP="00715E70">
            <w:pPr>
              <w:pStyle w:val="TableParagraph"/>
              <w:spacing w:line="200" w:lineRule="exact"/>
              <w:ind w:left="35" w:right="38"/>
              <w:rPr>
                <w:rFonts w:cs="Calibri"/>
                <w:sz w:val="20"/>
                <w:szCs w:val="20"/>
              </w:rPr>
            </w:pPr>
            <w:r>
              <w:rPr>
                <w:sz w:val="20"/>
              </w:rPr>
              <w:t>Directives en matière de politique s’appliquant aux organismes de service en ce qui a trait au Programme de placement en famille hôte 2.0</w:t>
            </w:r>
          </w:p>
          <w:p w:rsidR="00B248CA" w:rsidRPr="0081122E" w:rsidRDefault="00B248CA" w:rsidP="00715E70">
            <w:pPr>
              <w:pStyle w:val="TableParagraph"/>
              <w:spacing w:line="200" w:lineRule="exact"/>
              <w:ind w:left="35" w:right="38"/>
              <w:rPr>
                <w:rFonts w:cs="Calibri"/>
                <w:sz w:val="20"/>
                <w:szCs w:val="20"/>
              </w:rPr>
            </w:pPr>
          </w:p>
        </w:tc>
        <w:tc>
          <w:tcPr>
            <w:tcW w:w="1060"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Afin d’encourager une compréhension commune du placement en famille hôte, les organismes sont tenus de signer avec la famille hôte une convention qui décrit les attentes de l’organisme à l’égard de la famille hôte et les activités de soutien et de supervision réalisées par l’organisme.</w:t>
            </w:r>
          </w:p>
          <w:p w:rsidR="00B248CA" w:rsidRDefault="00B248CA" w:rsidP="00715E70">
            <w:pPr>
              <w:rPr>
                <w:rFonts w:cs="Calibri"/>
                <w:sz w:val="20"/>
                <w:szCs w:val="20"/>
              </w:rPr>
            </w:pPr>
          </w:p>
          <w:p w:rsidR="00B248CA" w:rsidRDefault="00B248CA" w:rsidP="00715E70">
            <w:pPr>
              <w:rPr>
                <w:rFonts w:cs="Calibri"/>
                <w:sz w:val="20"/>
                <w:szCs w:val="20"/>
              </w:rPr>
            </w:pPr>
            <w:r>
              <w:rPr>
                <w:sz w:val="20"/>
              </w:rPr>
              <w:t>La convention de service signée doit prévoir que la famille hôte participe aux séances de formation et aux examens initiaux et continus avec l’organisme de service au moins une fois par an.</w:t>
            </w:r>
          </w:p>
          <w:p w:rsidR="00B248CA" w:rsidRDefault="00B248CA" w:rsidP="00715E70">
            <w:pPr>
              <w:rPr>
                <w:rFonts w:cs="Calibri"/>
                <w:sz w:val="20"/>
                <w:szCs w:val="20"/>
              </w:rPr>
            </w:pPr>
          </w:p>
          <w:p w:rsidR="00B248CA" w:rsidRDefault="00B248CA" w:rsidP="00715E70">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jc w:val="center"/>
              <w:rPr>
                <w:rFonts w:cs="Calibri"/>
                <w:sz w:val="20"/>
                <w:szCs w:val="20"/>
              </w:rPr>
            </w:pPr>
            <w:r>
              <w:rPr>
                <w:sz w:val="20"/>
              </w:rPr>
              <w:t>MODÉRÉ</w:t>
            </w:r>
          </w:p>
        </w:tc>
        <w:tc>
          <w:tcPr>
            <w:tcW w:w="816" w:type="pct"/>
            <w:tcBorders>
              <w:top w:val="single" w:sz="4" w:space="0" w:color="000000"/>
              <w:left w:val="single" w:sz="4" w:space="0" w:color="000000"/>
              <w:bottom w:val="single" w:sz="4" w:space="0" w:color="000000"/>
              <w:right w:val="single" w:sz="4" w:space="0" w:color="000000"/>
            </w:tcBorders>
          </w:tcPr>
          <w:p w:rsidR="00B248CA" w:rsidRDefault="00B248CA" w:rsidP="00715E70">
            <w:pPr>
              <w:pStyle w:val="ListParagraph"/>
              <w:rPr>
                <w:rFonts w:cs="Calibri"/>
                <w:sz w:val="20"/>
                <w:szCs w:val="20"/>
              </w:rPr>
            </w:pPr>
          </w:p>
          <w:p w:rsidR="00B248CA" w:rsidRPr="0081122E" w:rsidRDefault="00B248CA" w:rsidP="00715E70">
            <w:pPr>
              <w:pStyle w:val="ListParagraph"/>
              <w:rPr>
                <w:rFonts w:cs="Calibri"/>
                <w:sz w:val="20"/>
                <w:szCs w:val="20"/>
              </w:rPr>
            </w:pPr>
            <w:r>
              <w:rPr>
                <w:sz w:val="20"/>
              </w:rPr>
              <w:t>Convention de service</w:t>
            </w:r>
          </w:p>
        </w:tc>
        <w:tc>
          <w:tcPr>
            <w:tcW w:w="847"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La convention de service signée entre l’organisme de service et la famille hôte ne prévoit pas la participation aux séances de formation et aux examens initiaux et continus avec l’organisme au moins une fois par an.</w:t>
            </w:r>
          </w:p>
        </w:tc>
        <w:tc>
          <w:tcPr>
            <w:tcW w:w="641"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rPr>
                <w:rFonts w:cs="Calibri"/>
                <w:sz w:val="20"/>
                <w:szCs w:val="20"/>
              </w:rPr>
            </w:pPr>
            <w:r>
              <w:rPr>
                <w:sz w:val="20"/>
              </w:rPr>
              <w:t>Une lettre ou un document confirmant que la mesure corrective a été menée à bien.</w:t>
            </w:r>
          </w:p>
        </w:tc>
      </w:tr>
      <w:tr w:rsidR="00B248CA" w:rsidRPr="0081122E" w:rsidTr="00715E70">
        <w:trPr>
          <w:trHeight w:hRule="exact" w:val="6954"/>
        </w:trPr>
        <w:tc>
          <w:tcPr>
            <w:tcW w:w="1182"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pStyle w:val="TableParagraph"/>
              <w:spacing w:before="48"/>
              <w:ind w:left="35"/>
              <w:rPr>
                <w:rFonts w:cs="Calibri"/>
                <w:sz w:val="20"/>
                <w:szCs w:val="20"/>
              </w:rPr>
            </w:pPr>
          </w:p>
          <w:p w:rsidR="00B248CA" w:rsidRPr="0081122E" w:rsidRDefault="00B248CA" w:rsidP="00715E70">
            <w:pPr>
              <w:pStyle w:val="TableParagraph"/>
              <w:spacing w:before="48"/>
              <w:ind w:left="35"/>
              <w:rPr>
                <w:rFonts w:cs="Calibri"/>
                <w:sz w:val="20"/>
                <w:szCs w:val="20"/>
              </w:rPr>
            </w:pPr>
            <w:r>
              <w:rPr>
                <w:sz w:val="20"/>
              </w:rPr>
              <w:t>78. Convention de service, communications régulières</w:t>
            </w:r>
          </w:p>
          <w:p w:rsidR="00B248CA" w:rsidRPr="0081122E" w:rsidRDefault="00B248CA" w:rsidP="00715E70">
            <w:pPr>
              <w:pStyle w:val="TableParagraph"/>
              <w:spacing w:before="7" w:line="190" w:lineRule="exact"/>
              <w:rPr>
                <w:rFonts w:cs="Calibri"/>
                <w:sz w:val="20"/>
                <w:szCs w:val="20"/>
              </w:rPr>
            </w:pPr>
          </w:p>
          <w:p w:rsidR="00B248CA" w:rsidRDefault="00B248CA" w:rsidP="00715E70">
            <w:pPr>
              <w:pStyle w:val="TableParagraph"/>
              <w:spacing w:line="200" w:lineRule="exact"/>
              <w:ind w:left="35" w:right="38"/>
              <w:rPr>
                <w:rFonts w:cs="Calibri"/>
                <w:sz w:val="20"/>
                <w:szCs w:val="20"/>
              </w:rPr>
            </w:pPr>
            <w:r>
              <w:rPr>
                <w:sz w:val="20"/>
              </w:rPr>
              <w:t xml:space="preserve">Les organismes de service doivent, pour chaque placement, signer avec la famille hôte une convention qui aborde les rôles et les responsabilités de la famille hôte, notamment pour ce qui est de maintenir des communications régulières avec l’organisme de service et de fournir des mises à jour (p. ex. </w:t>
            </w:r>
            <w:r w:rsidRPr="00861947">
              <w:rPr>
                <w:sz w:val="20"/>
              </w:rPr>
              <w:t xml:space="preserve">modifications du comportement ou des </w:t>
            </w:r>
            <w:r>
              <w:rPr>
                <w:sz w:val="20"/>
              </w:rPr>
              <w:t xml:space="preserve">besoins en soutien de la personne placée, changements dans la situation de la famille hôte, y compris les nouveaux placements proposés, accident ou blessure grave). </w:t>
            </w:r>
          </w:p>
          <w:p w:rsidR="00B248CA" w:rsidRDefault="00B248CA" w:rsidP="00715E70">
            <w:pPr>
              <w:pStyle w:val="TableParagraph"/>
              <w:spacing w:line="200" w:lineRule="exact"/>
              <w:ind w:left="35" w:right="38"/>
              <w:rPr>
                <w:rFonts w:cs="Calibri"/>
                <w:sz w:val="20"/>
                <w:szCs w:val="20"/>
              </w:rPr>
            </w:pPr>
          </w:p>
          <w:p w:rsidR="00B248CA" w:rsidRPr="0081122E" w:rsidRDefault="00B248CA" w:rsidP="00715E70">
            <w:pPr>
              <w:pStyle w:val="TableParagraph"/>
              <w:spacing w:line="200" w:lineRule="exact"/>
              <w:ind w:left="35" w:right="38"/>
              <w:rPr>
                <w:rFonts w:cs="Calibri"/>
                <w:sz w:val="20"/>
                <w:szCs w:val="20"/>
              </w:rPr>
            </w:pPr>
            <w:r>
              <w:rPr>
                <w:sz w:val="20"/>
              </w:rPr>
              <w:t>Directives en matière de politique s’appliquant aux organismes de service en ce qui a trait au Programme de placement en famille hôte 2.0</w:t>
            </w:r>
          </w:p>
          <w:p w:rsidR="00B248CA" w:rsidRPr="0081122E" w:rsidRDefault="00B248CA" w:rsidP="00715E70">
            <w:pPr>
              <w:widowControl/>
              <w:rPr>
                <w:rFonts w:cs="Calibri"/>
                <w:sz w:val="20"/>
                <w:szCs w:val="20"/>
              </w:rPr>
            </w:pPr>
          </w:p>
        </w:tc>
        <w:tc>
          <w:tcPr>
            <w:tcW w:w="1060" w:type="pct"/>
            <w:tcBorders>
              <w:top w:val="single" w:sz="4" w:space="0" w:color="000000"/>
              <w:left w:val="single" w:sz="4" w:space="0" w:color="000000"/>
              <w:bottom w:val="single" w:sz="4" w:space="0" w:color="000000"/>
              <w:right w:val="single" w:sz="4" w:space="0" w:color="000000"/>
            </w:tcBorders>
          </w:tcPr>
          <w:p w:rsidR="00B248CA" w:rsidRPr="0081122E" w:rsidRDefault="00B248CA" w:rsidP="00715E70">
            <w:pPr>
              <w:widowControl/>
              <w:rPr>
                <w:rFonts w:cs="Calibri"/>
                <w:color w:val="000000"/>
                <w:sz w:val="20"/>
                <w:szCs w:val="20"/>
              </w:rPr>
            </w:pPr>
          </w:p>
          <w:p w:rsidR="00B248CA" w:rsidRDefault="00B248CA" w:rsidP="00715E70">
            <w:pPr>
              <w:widowControl/>
              <w:rPr>
                <w:rFonts w:cs="Calibri"/>
                <w:sz w:val="20"/>
                <w:szCs w:val="20"/>
              </w:rPr>
            </w:pPr>
          </w:p>
          <w:p w:rsidR="00B248CA" w:rsidRDefault="00B248CA" w:rsidP="00715E70">
            <w:pPr>
              <w:widowControl/>
              <w:rPr>
                <w:sz w:val="20"/>
                <w:szCs w:val="20"/>
              </w:rPr>
            </w:pPr>
            <w:r>
              <w:rPr>
                <w:sz w:val="20"/>
              </w:rPr>
              <w:t>Afin d’encourager une compréhension commune du placement en famille hôte, les organismes sont tenus de signer avec la famille hôte une convention qui décrit les attentes de l’organisme à l’égard de la famille hôte et les activités de soutien et de supervision réalisées par l’organisme.</w:t>
            </w:r>
          </w:p>
          <w:p w:rsidR="00B248CA" w:rsidRDefault="00B248CA" w:rsidP="00715E70">
            <w:pPr>
              <w:widowControl/>
              <w:rPr>
                <w:rFonts w:cs="Calibri"/>
                <w:sz w:val="20"/>
                <w:szCs w:val="20"/>
              </w:rPr>
            </w:pPr>
          </w:p>
          <w:p w:rsidR="00B248CA" w:rsidRPr="0081122E" w:rsidRDefault="00B248CA" w:rsidP="00715E70">
            <w:pPr>
              <w:widowControl/>
              <w:rPr>
                <w:rFonts w:cs="Calibri"/>
                <w:sz w:val="20"/>
                <w:szCs w:val="20"/>
              </w:rPr>
            </w:pPr>
            <w:r>
              <w:rPr>
                <w:sz w:val="20"/>
              </w:rPr>
              <w:t>La convention de service signée doit prévoir que la famille hôte maintiendra des communications régulières avec l’organisme de service et fournira des mises à jour.</w:t>
            </w:r>
          </w:p>
          <w:p w:rsidR="00B248CA" w:rsidRDefault="00B248CA" w:rsidP="00715E70">
            <w:pPr>
              <w:rPr>
                <w:rFonts w:cs="Calibri"/>
                <w:sz w:val="20"/>
                <w:szCs w:val="20"/>
              </w:rPr>
            </w:pPr>
          </w:p>
          <w:p w:rsidR="00B248CA" w:rsidRDefault="00B248CA" w:rsidP="00715E70">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jc w:val="center"/>
              <w:rPr>
                <w:rFonts w:cs="Calibri"/>
                <w:sz w:val="20"/>
                <w:szCs w:val="20"/>
              </w:rPr>
            </w:pPr>
            <w:r>
              <w:rPr>
                <w:sz w:val="20"/>
              </w:rPr>
              <w:t>MODÉRÉ</w:t>
            </w:r>
          </w:p>
        </w:tc>
        <w:tc>
          <w:tcPr>
            <w:tcW w:w="816" w:type="pct"/>
            <w:tcBorders>
              <w:top w:val="single" w:sz="4" w:space="0" w:color="000000"/>
              <w:left w:val="single" w:sz="4" w:space="0" w:color="000000"/>
              <w:bottom w:val="single" w:sz="4" w:space="0" w:color="000000"/>
              <w:right w:val="single" w:sz="4" w:space="0" w:color="000000"/>
            </w:tcBorders>
          </w:tcPr>
          <w:p w:rsidR="00B248CA" w:rsidRDefault="00B248CA" w:rsidP="00715E70">
            <w:pPr>
              <w:pStyle w:val="ListParagraph"/>
              <w:rPr>
                <w:rFonts w:cs="Calibri"/>
                <w:sz w:val="20"/>
                <w:szCs w:val="20"/>
              </w:rPr>
            </w:pPr>
          </w:p>
          <w:p w:rsidR="00B248CA" w:rsidRPr="0081122E" w:rsidRDefault="00B248CA" w:rsidP="00715E70">
            <w:pPr>
              <w:pStyle w:val="ListParagraph"/>
              <w:rPr>
                <w:rFonts w:cs="Calibri"/>
                <w:sz w:val="20"/>
                <w:szCs w:val="20"/>
              </w:rPr>
            </w:pPr>
            <w:r>
              <w:rPr>
                <w:sz w:val="20"/>
              </w:rPr>
              <w:t>Convention de service</w:t>
            </w:r>
          </w:p>
        </w:tc>
        <w:tc>
          <w:tcPr>
            <w:tcW w:w="847"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rPr>
                <w:rFonts w:cs="Calibri"/>
                <w:sz w:val="20"/>
                <w:szCs w:val="20"/>
              </w:rPr>
            </w:pPr>
            <w:r>
              <w:rPr>
                <w:sz w:val="20"/>
              </w:rPr>
              <w:t xml:space="preserve">La convention de service signée entre l’organisme de service et la famille hôte ne prévoit pas le fait de maintenir des communications régulières avec l’organisme de service et de lui fournir des mises à jour (p. ex. </w:t>
            </w:r>
            <w:r w:rsidRPr="00861947">
              <w:rPr>
                <w:sz w:val="20"/>
              </w:rPr>
              <w:t xml:space="preserve">modifications du comportement ou des </w:t>
            </w:r>
            <w:r>
              <w:rPr>
                <w:sz w:val="20"/>
              </w:rPr>
              <w:t>besoins en soutien de la personne placée, changements dans la situation de la famille hôte, y compris les nouveaux placements proposés, accident ou blessure grave).</w:t>
            </w:r>
          </w:p>
        </w:tc>
        <w:tc>
          <w:tcPr>
            <w:tcW w:w="641"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rPr>
                <w:rFonts w:cs="Calibri"/>
                <w:sz w:val="20"/>
                <w:szCs w:val="20"/>
              </w:rPr>
            </w:pPr>
            <w:r>
              <w:rPr>
                <w:sz w:val="20"/>
              </w:rPr>
              <w:t>Une lettre ou un document confirmant que la mesure corrective a été menée à bien.</w:t>
            </w:r>
          </w:p>
        </w:tc>
      </w:tr>
    </w:tbl>
    <w:p w:rsidR="00B248CA" w:rsidRPr="0081122E" w:rsidRDefault="00B248CA" w:rsidP="00B248CA">
      <w:pPr>
        <w:rPr>
          <w:rFonts w:cs="Calibri"/>
          <w:sz w:val="20"/>
          <w:szCs w:val="20"/>
        </w:rPr>
        <w:sectPr w:rsidR="00B248CA" w:rsidRPr="0081122E" w:rsidSect="0049355F">
          <w:pgSz w:w="15840" w:h="12240" w:orient="landscape" w:code="1"/>
          <w:pgMar w:top="2200" w:right="480" w:bottom="420" w:left="500" w:header="600" w:footer="230" w:gutter="0"/>
          <w:cols w:space="720"/>
          <w:docGrid w:linePitch="299"/>
        </w:sectPr>
      </w:pPr>
    </w:p>
    <w:p w:rsidR="00B248CA" w:rsidRPr="0081122E" w:rsidRDefault="00B248CA" w:rsidP="00B248CA">
      <w:pPr>
        <w:spacing w:line="110" w:lineRule="exact"/>
        <w:rPr>
          <w:rFonts w:cs="Calibri"/>
          <w:sz w:val="20"/>
          <w:szCs w:val="20"/>
        </w:rPr>
      </w:pPr>
    </w:p>
    <w:p w:rsidR="00B248CA" w:rsidRPr="0081122E" w:rsidRDefault="00B248CA" w:rsidP="00B248CA">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516"/>
        <w:gridCol w:w="3152"/>
        <w:gridCol w:w="1350"/>
        <w:gridCol w:w="2427"/>
        <w:gridCol w:w="2522"/>
        <w:gridCol w:w="1903"/>
      </w:tblGrid>
      <w:tr w:rsidR="00B248CA" w:rsidRPr="0081122E" w:rsidTr="00715E70">
        <w:trPr>
          <w:trHeight w:val="960"/>
          <w:tblHeader/>
        </w:trPr>
        <w:tc>
          <w:tcPr>
            <w:tcW w:w="1182" w:type="pct"/>
            <w:tcBorders>
              <w:top w:val="single" w:sz="4" w:space="0" w:color="000000"/>
              <w:left w:val="single" w:sz="4" w:space="0" w:color="000000"/>
              <w:right w:val="single" w:sz="4" w:space="0" w:color="000000"/>
            </w:tcBorders>
            <w:shd w:val="clear" w:color="auto" w:fill="BFBFBF"/>
          </w:tcPr>
          <w:p w:rsidR="00B248CA" w:rsidRPr="0081122E" w:rsidRDefault="00B248CA" w:rsidP="00715E70">
            <w:pPr>
              <w:pStyle w:val="TableParagraph"/>
              <w:spacing w:before="8" w:line="180" w:lineRule="exact"/>
              <w:rPr>
                <w:rFonts w:cs="Calibri"/>
                <w:sz w:val="20"/>
                <w:szCs w:val="20"/>
                <w:highlight w:val="yellow"/>
              </w:rPr>
            </w:pPr>
          </w:p>
          <w:p w:rsidR="00B248CA" w:rsidRPr="0081122E" w:rsidRDefault="00B248CA" w:rsidP="00715E70">
            <w:pPr>
              <w:pStyle w:val="TableParagraph"/>
              <w:spacing w:line="200" w:lineRule="exact"/>
              <w:rPr>
                <w:rFonts w:cs="Calibri"/>
                <w:sz w:val="20"/>
                <w:szCs w:val="20"/>
                <w:highlight w:val="yellow"/>
              </w:rPr>
            </w:pPr>
          </w:p>
          <w:p w:rsidR="00B248CA" w:rsidRPr="0081122E" w:rsidRDefault="00B248CA" w:rsidP="00715E70">
            <w:pPr>
              <w:pStyle w:val="TableParagraph"/>
              <w:jc w:val="center"/>
              <w:rPr>
                <w:rFonts w:cs="Calibri"/>
                <w:b/>
                <w:sz w:val="20"/>
                <w:szCs w:val="20"/>
              </w:rPr>
            </w:pPr>
            <w:r>
              <w:rPr>
                <w:b/>
                <w:sz w:val="20"/>
              </w:rPr>
              <w:t>Dossiers et documents</w:t>
            </w:r>
          </w:p>
          <w:p w:rsidR="00B248CA" w:rsidRPr="0081122E" w:rsidRDefault="00B248CA" w:rsidP="00715E70">
            <w:pPr>
              <w:pStyle w:val="TableParagraph"/>
              <w:jc w:val="center"/>
              <w:rPr>
                <w:rFonts w:cs="Calibri"/>
                <w:sz w:val="20"/>
                <w:szCs w:val="20"/>
                <w:highlight w:val="yellow"/>
              </w:rPr>
            </w:pPr>
          </w:p>
        </w:tc>
        <w:tc>
          <w:tcPr>
            <w:tcW w:w="1060" w:type="pct"/>
            <w:tcBorders>
              <w:top w:val="single" w:sz="4" w:space="0" w:color="000000"/>
              <w:left w:val="single" w:sz="4" w:space="0" w:color="000000"/>
              <w:right w:val="single" w:sz="4" w:space="0" w:color="000000"/>
            </w:tcBorders>
            <w:shd w:val="clear" w:color="auto" w:fill="BFBFBF"/>
          </w:tcPr>
          <w:p w:rsidR="00B248CA" w:rsidRDefault="00B248CA" w:rsidP="00715E70">
            <w:pPr>
              <w:pStyle w:val="TableParagraph"/>
              <w:jc w:val="center"/>
              <w:rPr>
                <w:rFonts w:cs="Calibri"/>
                <w:b/>
                <w:sz w:val="20"/>
                <w:szCs w:val="20"/>
              </w:rPr>
            </w:pPr>
          </w:p>
          <w:p w:rsidR="00B248CA" w:rsidRPr="0081122E" w:rsidRDefault="00B248CA" w:rsidP="00715E70">
            <w:pPr>
              <w:pStyle w:val="TableParagraph"/>
              <w:jc w:val="center"/>
              <w:rPr>
                <w:rFonts w:cs="Calibri"/>
                <w:b/>
                <w:sz w:val="20"/>
                <w:szCs w:val="20"/>
              </w:rPr>
            </w:pPr>
            <w:r>
              <w:rPr>
                <w:b/>
                <w:sz w:val="20"/>
              </w:rPr>
              <w:t>But</w:t>
            </w:r>
          </w:p>
        </w:tc>
        <w:tc>
          <w:tcPr>
            <w:tcW w:w="454" w:type="pct"/>
            <w:tcBorders>
              <w:top w:val="single" w:sz="4" w:space="0" w:color="000000"/>
              <w:left w:val="single" w:sz="4" w:space="0" w:color="000000"/>
              <w:right w:val="single" w:sz="4" w:space="0" w:color="000000"/>
            </w:tcBorders>
            <w:shd w:val="clear" w:color="auto" w:fill="BFBFBF"/>
          </w:tcPr>
          <w:p w:rsidR="00B248CA" w:rsidRPr="0081122E" w:rsidRDefault="00B248CA" w:rsidP="00715E70">
            <w:pPr>
              <w:pStyle w:val="TableParagraph"/>
              <w:jc w:val="center"/>
              <w:rPr>
                <w:rFonts w:cs="Calibri"/>
                <w:b/>
                <w:sz w:val="20"/>
                <w:szCs w:val="20"/>
              </w:rPr>
            </w:pPr>
          </w:p>
          <w:p w:rsidR="00B248CA" w:rsidRPr="0081122E" w:rsidRDefault="00B248CA" w:rsidP="00715E70">
            <w:pPr>
              <w:jc w:val="center"/>
              <w:rPr>
                <w:rFonts w:cs="Calibri"/>
                <w:sz w:val="20"/>
                <w:szCs w:val="20"/>
              </w:rPr>
            </w:pPr>
            <w:r>
              <w:rPr>
                <w:b/>
                <w:sz w:val="20"/>
              </w:rPr>
              <w:t>Risque</w:t>
            </w:r>
          </w:p>
        </w:tc>
        <w:tc>
          <w:tcPr>
            <w:tcW w:w="816" w:type="pct"/>
            <w:tcBorders>
              <w:top w:val="single" w:sz="4" w:space="0" w:color="000000"/>
              <w:left w:val="single" w:sz="4" w:space="0" w:color="000000"/>
              <w:right w:val="single" w:sz="4" w:space="0" w:color="000000"/>
            </w:tcBorders>
            <w:shd w:val="clear" w:color="auto" w:fill="BFBFBF"/>
          </w:tcPr>
          <w:p w:rsidR="00B248CA" w:rsidRPr="0081122E" w:rsidRDefault="00B248CA" w:rsidP="00715E70">
            <w:pPr>
              <w:spacing w:line="200" w:lineRule="exact"/>
              <w:jc w:val="center"/>
              <w:rPr>
                <w:rFonts w:cs="Calibri"/>
                <w:sz w:val="20"/>
                <w:szCs w:val="20"/>
              </w:rPr>
            </w:pPr>
          </w:p>
          <w:p w:rsidR="00B248CA" w:rsidRPr="0081122E" w:rsidRDefault="00B248CA" w:rsidP="00715E70">
            <w:pPr>
              <w:spacing w:line="200" w:lineRule="exact"/>
              <w:jc w:val="center"/>
              <w:rPr>
                <w:rFonts w:cs="Calibri"/>
                <w:b/>
                <w:sz w:val="20"/>
                <w:szCs w:val="20"/>
              </w:rPr>
            </w:pPr>
          </w:p>
          <w:p w:rsidR="00B248CA" w:rsidRPr="0081122E" w:rsidRDefault="00B248CA" w:rsidP="00715E70">
            <w:pPr>
              <w:spacing w:line="200" w:lineRule="exact"/>
              <w:jc w:val="center"/>
              <w:rPr>
                <w:rFonts w:cs="Calibri"/>
                <w:sz w:val="20"/>
                <w:szCs w:val="20"/>
              </w:rPr>
            </w:pPr>
            <w:r>
              <w:rPr>
                <w:b/>
                <w:sz w:val="20"/>
              </w:rPr>
              <w:t>Indicateur</w:t>
            </w:r>
          </w:p>
          <w:p w:rsidR="00B248CA" w:rsidRPr="0081122E" w:rsidRDefault="00B248CA" w:rsidP="00715E70">
            <w:pPr>
              <w:rPr>
                <w:rFonts w:cs="Calibri"/>
                <w:sz w:val="20"/>
                <w:szCs w:val="20"/>
              </w:rPr>
            </w:pPr>
          </w:p>
        </w:tc>
        <w:tc>
          <w:tcPr>
            <w:tcW w:w="848" w:type="pct"/>
            <w:tcBorders>
              <w:top w:val="single" w:sz="4" w:space="0" w:color="000000"/>
              <w:left w:val="single" w:sz="4" w:space="0" w:color="000000"/>
              <w:right w:val="single" w:sz="4" w:space="0" w:color="000000"/>
            </w:tcBorders>
            <w:shd w:val="clear" w:color="auto" w:fill="BFBFBF"/>
          </w:tcPr>
          <w:p w:rsidR="00B248CA" w:rsidRDefault="00B248CA" w:rsidP="00715E70">
            <w:pPr>
              <w:jc w:val="center"/>
              <w:rPr>
                <w:rFonts w:cs="Calibri"/>
                <w:b/>
                <w:sz w:val="20"/>
                <w:szCs w:val="20"/>
              </w:rPr>
            </w:pPr>
          </w:p>
          <w:p w:rsidR="00B248CA" w:rsidRPr="0081122E" w:rsidRDefault="00B248CA" w:rsidP="00715E70">
            <w:pPr>
              <w:jc w:val="center"/>
              <w:rPr>
                <w:rFonts w:cs="Calibri"/>
                <w:b/>
                <w:sz w:val="20"/>
                <w:szCs w:val="20"/>
              </w:rPr>
            </w:pPr>
            <w:r>
              <w:rPr>
                <w:b/>
                <w:sz w:val="20"/>
              </w:rPr>
              <w:t>Non-conformité constatée</w:t>
            </w:r>
          </w:p>
        </w:tc>
        <w:tc>
          <w:tcPr>
            <w:tcW w:w="640" w:type="pct"/>
            <w:tcBorders>
              <w:top w:val="single" w:sz="4" w:space="0" w:color="000000"/>
              <w:left w:val="single" w:sz="4" w:space="0" w:color="000000"/>
              <w:right w:val="single" w:sz="4" w:space="0" w:color="000000"/>
            </w:tcBorders>
            <w:shd w:val="clear" w:color="auto" w:fill="BFBFBF"/>
          </w:tcPr>
          <w:p w:rsidR="00B248CA" w:rsidRDefault="00B248CA" w:rsidP="00715E70">
            <w:pPr>
              <w:jc w:val="center"/>
              <w:rPr>
                <w:rFonts w:cs="Calibri"/>
                <w:b/>
                <w:sz w:val="20"/>
                <w:szCs w:val="20"/>
              </w:rPr>
            </w:pPr>
          </w:p>
          <w:p w:rsidR="00B248CA" w:rsidRPr="00637B60" w:rsidRDefault="00B248CA" w:rsidP="00715E70">
            <w:pPr>
              <w:jc w:val="center"/>
              <w:rPr>
                <w:rFonts w:cs="Calibri"/>
                <w:b/>
                <w:sz w:val="20"/>
                <w:szCs w:val="20"/>
              </w:rPr>
            </w:pPr>
            <w:r>
              <w:rPr>
                <w:b/>
                <w:sz w:val="20"/>
              </w:rPr>
              <w:t>Exigence de conformité</w:t>
            </w:r>
          </w:p>
        </w:tc>
      </w:tr>
      <w:tr w:rsidR="00B248CA" w:rsidRPr="0081122E" w:rsidTr="00715E70">
        <w:trPr>
          <w:trHeight w:hRule="exact" w:val="5838"/>
        </w:trPr>
        <w:tc>
          <w:tcPr>
            <w:tcW w:w="1182"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pStyle w:val="TableParagraph"/>
              <w:spacing w:before="48" w:after="60"/>
              <w:rPr>
                <w:rFonts w:cs="Calibri"/>
                <w:sz w:val="20"/>
                <w:szCs w:val="20"/>
              </w:rPr>
            </w:pPr>
          </w:p>
          <w:p w:rsidR="00B248CA" w:rsidRPr="0081122E" w:rsidRDefault="00B248CA" w:rsidP="00715E70">
            <w:pPr>
              <w:pStyle w:val="TableParagraph"/>
              <w:spacing w:before="48" w:after="60"/>
              <w:rPr>
                <w:rFonts w:cs="Calibri"/>
                <w:sz w:val="20"/>
                <w:szCs w:val="20"/>
              </w:rPr>
            </w:pPr>
            <w:r>
              <w:rPr>
                <w:sz w:val="20"/>
              </w:rPr>
              <w:t>79. Convention de service, services et soutiens de relève pour fournisseurs de soins</w:t>
            </w:r>
          </w:p>
          <w:p w:rsidR="00B248CA" w:rsidRPr="0081122E" w:rsidRDefault="00B248CA" w:rsidP="00715E70">
            <w:pPr>
              <w:pStyle w:val="TableParagraph"/>
              <w:spacing w:before="7" w:line="190" w:lineRule="exact"/>
              <w:rPr>
                <w:rFonts w:cs="Calibri"/>
                <w:sz w:val="20"/>
                <w:szCs w:val="20"/>
              </w:rPr>
            </w:pPr>
          </w:p>
          <w:p w:rsidR="00B248CA" w:rsidRDefault="00B248CA" w:rsidP="00715E70">
            <w:pPr>
              <w:pStyle w:val="TableParagraph"/>
              <w:spacing w:line="200" w:lineRule="exact"/>
              <w:ind w:left="35" w:right="38"/>
              <w:rPr>
                <w:rFonts w:cs="Calibri"/>
                <w:sz w:val="20"/>
                <w:szCs w:val="20"/>
              </w:rPr>
            </w:pPr>
            <w:r>
              <w:rPr>
                <w:sz w:val="20"/>
              </w:rPr>
              <w:t xml:space="preserve">Les organismes de service doivent, pour chaque placement, signer avec la famille hôte une convention qui aborde les services et soutiens de relève </w:t>
            </w:r>
            <w:r w:rsidR="00DF0654" w:rsidRPr="00DF0654">
              <w:rPr>
                <w:sz w:val="20"/>
              </w:rPr>
              <w:t>offerts aux fournisseurs de soins par l’organisme de service</w:t>
            </w:r>
            <w:r>
              <w:rPr>
                <w:sz w:val="20"/>
              </w:rPr>
              <w:t>, le cas échéant.</w:t>
            </w:r>
          </w:p>
          <w:p w:rsidR="00B248CA" w:rsidRPr="00B00EAD" w:rsidRDefault="00B248CA" w:rsidP="00715E70">
            <w:pPr>
              <w:pStyle w:val="TableParagraph"/>
              <w:spacing w:line="200" w:lineRule="exact"/>
              <w:ind w:left="35" w:right="38"/>
              <w:rPr>
                <w:rFonts w:cs="Calibri"/>
                <w:sz w:val="20"/>
                <w:szCs w:val="20"/>
              </w:rPr>
            </w:pPr>
          </w:p>
          <w:p w:rsidR="00B248CA" w:rsidRPr="0081122E" w:rsidRDefault="00B248CA" w:rsidP="00715E70">
            <w:pPr>
              <w:pStyle w:val="TableParagraph"/>
              <w:spacing w:line="200" w:lineRule="exact"/>
              <w:ind w:left="35" w:right="38"/>
              <w:rPr>
                <w:rFonts w:cs="Calibri"/>
                <w:sz w:val="20"/>
                <w:szCs w:val="20"/>
                <w:highlight w:val="yellow"/>
              </w:rPr>
            </w:pPr>
            <w:r>
              <w:rPr>
                <w:sz w:val="20"/>
              </w:rPr>
              <w:t>Directives en matière de politique s’appliquant aux organismes de service en ce qui a trait au Programme de placement en famille hôte 2.0</w:t>
            </w:r>
          </w:p>
        </w:tc>
        <w:tc>
          <w:tcPr>
            <w:tcW w:w="1060"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Afin d’encourager une compréhension commune du placement en famille hôte, les organismes sont tenus de signer avec la famille hôte une convention qui décrit les attentes de l’organisme à l’égard de la famille hôte et les activités de soutien et de supervision réalisées par l’organisme.</w:t>
            </w:r>
          </w:p>
          <w:p w:rsidR="00B248CA" w:rsidRDefault="00B248CA" w:rsidP="00715E70">
            <w:pPr>
              <w:rPr>
                <w:rFonts w:cs="Calibri"/>
                <w:sz w:val="20"/>
                <w:szCs w:val="20"/>
              </w:rPr>
            </w:pPr>
          </w:p>
          <w:p w:rsidR="00B248CA" w:rsidRDefault="00B248CA" w:rsidP="00715E70">
            <w:pPr>
              <w:rPr>
                <w:rFonts w:cs="Calibri"/>
                <w:sz w:val="20"/>
                <w:szCs w:val="20"/>
              </w:rPr>
            </w:pPr>
            <w:r>
              <w:rPr>
                <w:sz w:val="20"/>
              </w:rPr>
              <w:t xml:space="preserve">La convention de service signée doit prévoir les services et soutiens de relève </w:t>
            </w:r>
            <w:r w:rsidR="00DF0654" w:rsidRPr="00DF0654">
              <w:rPr>
                <w:sz w:val="20"/>
              </w:rPr>
              <w:t>offerts aux fournisseurs de soins par l’organisme de service</w:t>
            </w:r>
            <w:r>
              <w:rPr>
                <w:sz w:val="20"/>
              </w:rPr>
              <w:t>, le cas échéant.</w:t>
            </w:r>
          </w:p>
          <w:p w:rsidR="00B248CA" w:rsidRDefault="00B248CA" w:rsidP="00715E70">
            <w:pPr>
              <w:rPr>
                <w:rFonts w:cs="Calibri"/>
                <w:sz w:val="20"/>
                <w:szCs w:val="20"/>
              </w:rPr>
            </w:pPr>
          </w:p>
          <w:p w:rsidR="00B248CA" w:rsidRDefault="00B248CA" w:rsidP="00715E70">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jc w:val="center"/>
              <w:rPr>
                <w:rFonts w:cs="Calibri"/>
                <w:sz w:val="20"/>
                <w:szCs w:val="20"/>
              </w:rPr>
            </w:pPr>
            <w:r>
              <w:rPr>
                <w:sz w:val="20"/>
              </w:rPr>
              <w:t>MODÉRÉ</w:t>
            </w:r>
          </w:p>
        </w:tc>
        <w:tc>
          <w:tcPr>
            <w:tcW w:w="816" w:type="pct"/>
            <w:tcBorders>
              <w:top w:val="single" w:sz="4" w:space="0" w:color="000000"/>
              <w:left w:val="single" w:sz="4" w:space="0" w:color="000000"/>
              <w:bottom w:val="single" w:sz="4" w:space="0" w:color="000000"/>
              <w:right w:val="single" w:sz="4" w:space="0" w:color="000000"/>
            </w:tcBorders>
          </w:tcPr>
          <w:p w:rsidR="00B248CA" w:rsidRDefault="00B248CA" w:rsidP="00715E70">
            <w:pPr>
              <w:pStyle w:val="ListParagraph"/>
              <w:rPr>
                <w:rFonts w:cs="Calibri"/>
                <w:sz w:val="20"/>
                <w:szCs w:val="20"/>
              </w:rPr>
            </w:pPr>
            <w:r>
              <w:rPr>
                <w:sz w:val="20"/>
              </w:rPr>
              <w:t>.</w:t>
            </w:r>
          </w:p>
          <w:p w:rsidR="00B248CA" w:rsidRPr="0081122E" w:rsidRDefault="00B248CA" w:rsidP="00715E70">
            <w:pPr>
              <w:pStyle w:val="ListParagraph"/>
              <w:rPr>
                <w:rFonts w:cs="Calibri"/>
                <w:sz w:val="20"/>
                <w:szCs w:val="20"/>
              </w:rPr>
            </w:pPr>
            <w:r>
              <w:rPr>
                <w:sz w:val="20"/>
              </w:rPr>
              <w:t>Convention de service</w:t>
            </w:r>
          </w:p>
          <w:p w:rsidR="00B248CA" w:rsidRPr="0081122E" w:rsidRDefault="00B248CA" w:rsidP="00715E70">
            <w:pPr>
              <w:pStyle w:val="ListParagraph"/>
              <w:rPr>
                <w:rFonts w:cs="Calibri"/>
                <w:sz w:val="20"/>
                <w:szCs w:val="20"/>
              </w:rPr>
            </w:pPr>
          </w:p>
        </w:tc>
        <w:tc>
          <w:tcPr>
            <w:tcW w:w="848"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 xml:space="preserve">La convention de service signée entre l’organisme de service et la famille hôte ne prévoit pas les services et soutiens de relève </w:t>
            </w:r>
            <w:r w:rsidR="00DF0654" w:rsidRPr="00DF0654">
              <w:rPr>
                <w:sz w:val="20"/>
              </w:rPr>
              <w:t>offerts aux fournisseurs de soins par l’organisme de service</w:t>
            </w:r>
            <w:r>
              <w:rPr>
                <w:sz w:val="20"/>
              </w:rPr>
              <w:t>, le cas échéant.</w:t>
            </w:r>
          </w:p>
        </w:tc>
        <w:tc>
          <w:tcPr>
            <w:tcW w:w="640"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Une lettre ou un document confirmant que la mesure corrective a été menée à bien.</w:t>
            </w:r>
          </w:p>
          <w:p w:rsidR="00B248CA" w:rsidRDefault="00B248CA" w:rsidP="00715E70">
            <w:pPr>
              <w:rPr>
                <w:rFonts w:cs="Calibri"/>
                <w:sz w:val="20"/>
                <w:szCs w:val="20"/>
              </w:rPr>
            </w:pPr>
          </w:p>
          <w:p w:rsidR="00B248CA" w:rsidRDefault="00B248CA" w:rsidP="00715E70">
            <w:pPr>
              <w:rPr>
                <w:rFonts w:cs="Calibri"/>
                <w:sz w:val="20"/>
                <w:szCs w:val="20"/>
              </w:rPr>
            </w:pPr>
          </w:p>
        </w:tc>
      </w:tr>
      <w:tr w:rsidR="00B248CA" w:rsidRPr="0081122E" w:rsidTr="00715E70">
        <w:trPr>
          <w:trHeight w:hRule="exact" w:val="5694"/>
        </w:trPr>
        <w:tc>
          <w:tcPr>
            <w:tcW w:w="1182"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pStyle w:val="TableParagraph"/>
              <w:spacing w:before="48"/>
              <w:rPr>
                <w:rFonts w:cs="Calibri"/>
                <w:sz w:val="20"/>
                <w:szCs w:val="20"/>
              </w:rPr>
            </w:pPr>
          </w:p>
          <w:p w:rsidR="00B248CA" w:rsidRPr="0081122E" w:rsidRDefault="00B248CA" w:rsidP="00715E70">
            <w:pPr>
              <w:pStyle w:val="TableParagraph"/>
              <w:spacing w:before="48"/>
              <w:rPr>
                <w:rFonts w:cs="Calibri"/>
                <w:sz w:val="20"/>
                <w:szCs w:val="20"/>
              </w:rPr>
            </w:pPr>
            <w:r>
              <w:rPr>
                <w:sz w:val="20"/>
              </w:rPr>
              <w:t>80. Convention de service, fournisseurs de soins de relève présélectionnés</w:t>
            </w:r>
          </w:p>
          <w:p w:rsidR="00B248CA" w:rsidRPr="0081122E" w:rsidRDefault="00B248CA" w:rsidP="00715E70">
            <w:pPr>
              <w:pStyle w:val="TableParagraph"/>
              <w:spacing w:before="7" w:line="190" w:lineRule="exact"/>
              <w:rPr>
                <w:rFonts w:cs="Calibri"/>
                <w:sz w:val="20"/>
                <w:szCs w:val="20"/>
              </w:rPr>
            </w:pPr>
          </w:p>
          <w:p w:rsidR="00B248CA" w:rsidRDefault="00B248CA" w:rsidP="00715E70">
            <w:pPr>
              <w:pStyle w:val="TableParagraph"/>
              <w:spacing w:line="200" w:lineRule="exact"/>
              <w:ind w:left="35" w:right="38"/>
              <w:rPr>
                <w:rFonts w:cs="Calibri"/>
                <w:sz w:val="20"/>
                <w:szCs w:val="20"/>
              </w:rPr>
            </w:pPr>
            <w:r>
              <w:rPr>
                <w:sz w:val="20"/>
              </w:rPr>
              <w:t xml:space="preserve">Les organismes de service doivent, pour chaque placement, signer avec la famille hôte une convention qui aborde le recours à des fournisseurs de soins de relève présélectionnés par l’organisme. </w:t>
            </w:r>
          </w:p>
          <w:p w:rsidR="00B248CA" w:rsidRDefault="00B248CA" w:rsidP="00715E70">
            <w:pPr>
              <w:pStyle w:val="TableParagraph"/>
              <w:spacing w:line="200" w:lineRule="exact"/>
              <w:ind w:left="35" w:right="38"/>
              <w:rPr>
                <w:rFonts w:cs="Calibri"/>
                <w:sz w:val="20"/>
                <w:szCs w:val="20"/>
              </w:rPr>
            </w:pPr>
          </w:p>
          <w:p w:rsidR="00B248CA" w:rsidRPr="0081122E" w:rsidRDefault="00B248CA" w:rsidP="00715E70">
            <w:pPr>
              <w:pStyle w:val="TableParagraph"/>
              <w:spacing w:line="200" w:lineRule="exact"/>
              <w:ind w:left="35" w:right="38"/>
              <w:rPr>
                <w:rFonts w:cs="Calibri"/>
                <w:sz w:val="20"/>
                <w:szCs w:val="20"/>
              </w:rPr>
            </w:pPr>
            <w:r>
              <w:rPr>
                <w:sz w:val="20"/>
              </w:rPr>
              <w:t>Directives en matière de politique s’appliquant aux organismes de service en ce qui a trait au Programme de placement en famille hôte 2.0</w:t>
            </w:r>
          </w:p>
        </w:tc>
        <w:tc>
          <w:tcPr>
            <w:tcW w:w="1060"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Afin d’encourager une compréhension commune du placement en famille hôte, les organismes sont tenus de signer avec la famille hôte une convention qui décrit les attentes de l’organisme à l’égard de la famille hôte et les activités de soutien et de supervision réalisées par l’organisme.</w:t>
            </w:r>
          </w:p>
          <w:p w:rsidR="00B248CA" w:rsidRDefault="00B248CA" w:rsidP="00715E70">
            <w:pPr>
              <w:rPr>
                <w:rFonts w:cs="Calibri"/>
                <w:sz w:val="20"/>
                <w:szCs w:val="20"/>
              </w:rPr>
            </w:pPr>
          </w:p>
          <w:p w:rsidR="00B248CA" w:rsidRDefault="00B248CA" w:rsidP="00715E70">
            <w:pPr>
              <w:rPr>
                <w:rFonts w:cs="Calibri"/>
                <w:sz w:val="20"/>
                <w:szCs w:val="20"/>
              </w:rPr>
            </w:pPr>
            <w:r>
              <w:rPr>
                <w:sz w:val="20"/>
              </w:rPr>
              <w:t>La convention de service signée doit aborder le recours à des fournisseurs de soins de relève présélectionnés par l’organisme.</w:t>
            </w:r>
          </w:p>
          <w:p w:rsidR="00B248CA" w:rsidRDefault="00B248CA" w:rsidP="00715E70">
            <w:pPr>
              <w:rPr>
                <w:rFonts w:cs="Calibri"/>
                <w:sz w:val="20"/>
                <w:szCs w:val="20"/>
              </w:rPr>
            </w:pPr>
          </w:p>
          <w:p w:rsidR="00B248CA" w:rsidRDefault="00B248CA" w:rsidP="00715E70">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r>
              <w:softHyphen/>
            </w:r>
          </w:p>
          <w:p w:rsidR="00B248CA" w:rsidRPr="0081122E" w:rsidRDefault="00B248CA" w:rsidP="00715E70">
            <w:pPr>
              <w:jc w:val="center"/>
              <w:rPr>
                <w:rFonts w:cs="Calibri"/>
                <w:sz w:val="20"/>
                <w:szCs w:val="20"/>
              </w:rPr>
            </w:pPr>
            <w:r>
              <w:rPr>
                <w:sz w:val="20"/>
              </w:rPr>
              <w:t>MODÉRÉ</w:t>
            </w:r>
          </w:p>
        </w:tc>
        <w:tc>
          <w:tcPr>
            <w:tcW w:w="816" w:type="pct"/>
            <w:tcBorders>
              <w:top w:val="single" w:sz="4" w:space="0" w:color="000000"/>
              <w:left w:val="single" w:sz="4" w:space="0" w:color="000000"/>
              <w:bottom w:val="single" w:sz="4" w:space="0" w:color="000000"/>
              <w:right w:val="single" w:sz="4" w:space="0" w:color="000000"/>
            </w:tcBorders>
          </w:tcPr>
          <w:p w:rsidR="00B248CA" w:rsidRDefault="00B248CA" w:rsidP="00715E70">
            <w:pPr>
              <w:pStyle w:val="ListParagraph"/>
              <w:rPr>
                <w:rFonts w:cs="Calibri"/>
                <w:sz w:val="20"/>
                <w:szCs w:val="20"/>
              </w:rPr>
            </w:pPr>
          </w:p>
          <w:p w:rsidR="00B248CA" w:rsidRPr="0081122E" w:rsidRDefault="00B248CA" w:rsidP="00715E70">
            <w:pPr>
              <w:pStyle w:val="ListParagraph"/>
              <w:rPr>
                <w:rFonts w:cs="Calibri"/>
                <w:sz w:val="20"/>
                <w:szCs w:val="20"/>
              </w:rPr>
            </w:pPr>
            <w:r>
              <w:rPr>
                <w:sz w:val="20"/>
              </w:rPr>
              <w:t>Convention de service</w:t>
            </w:r>
          </w:p>
        </w:tc>
        <w:tc>
          <w:tcPr>
            <w:tcW w:w="848"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La convention de service signée entre l’organisme de service et la famille hôte n’aborde pas le recours à des fournisseurs de soins de relève présélectionnés par l’organisme.</w:t>
            </w:r>
          </w:p>
        </w:tc>
        <w:tc>
          <w:tcPr>
            <w:tcW w:w="640"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Une lettre ou un document confirmant que la mesure corrective a été menée à bien.</w:t>
            </w:r>
          </w:p>
        </w:tc>
      </w:tr>
      <w:tr w:rsidR="00B248CA" w:rsidRPr="0081122E" w:rsidTr="00715E70">
        <w:trPr>
          <w:trHeight w:hRule="exact" w:val="7773"/>
        </w:trPr>
        <w:tc>
          <w:tcPr>
            <w:tcW w:w="1182"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pStyle w:val="TableParagraph"/>
              <w:spacing w:before="48"/>
              <w:ind w:left="35"/>
              <w:rPr>
                <w:rFonts w:cs="Calibri"/>
                <w:sz w:val="20"/>
                <w:szCs w:val="20"/>
              </w:rPr>
            </w:pPr>
          </w:p>
          <w:p w:rsidR="00B248CA" w:rsidRPr="0081122E" w:rsidRDefault="00B248CA" w:rsidP="00715E70">
            <w:pPr>
              <w:pStyle w:val="TableParagraph"/>
              <w:spacing w:before="48"/>
              <w:ind w:left="35"/>
              <w:rPr>
                <w:rFonts w:cs="Calibri"/>
                <w:sz w:val="20"/>
                <w:szCs w:val="20"/>
              </w:rPr>
            </w:pPr>
            <w:r>
              <w:rPr>
                <w:sz w:val="20"/>
              </w:rPr>
              <w:t>81. Convention, accessibilité du personnel de l’organisme</w:t>
            </w:r>
          </w:p>
          <w:p w:rsidR="00B248CA" w:rsidRPr="0081122E" w:rsidRDefault="00B248CA" w:rsidP="00715E70">
            <w:pPr>
              <w:pStyle w:val="TableParagraph"/>
              <w:spacing w:before="7" w:line="190" w:lineRule="exact"/>
              <w:rPr>
                <w:rFonts w:cs="Calibri"/>
                <w:sz w:val="20"/>
                <w:szCs w:val="20"/>
              </w:rPr>
            </w:pPr>
          </w:p>
          <w:p w:rsidR="00B248CA" w:rsidRPr="003A59A7" w:rsidRDefault="00B248CA" w:rsidP="00715E70">
            <w:pPr>
              <w:pStyle w:val="TableParagraph"/>
              <w:spacing w:line="200" w:lineRule="exact"/>
              <w:ind w:right="38"/>
              <w:rPr>
                <w:rFonts w:cs="Calibri"/>
                <w:sz w:val="20"/>
                <w:szCs w:val="20"/>
              </w:rPr>
            </w:pPr>
            <w:r>
              <w:rPr>
                <w:sz w:val="20"/>
              </w:rPr>
              <w:t xml:space="preserve">Les organismes de service doivent, pour chaque placement, signer avec la famille hôte une convention qui précise que le personnel de l’organisme doit pouvoir être joint par la personne placée, la famille hôte ou la famille de la personne placée, le cas échéant. </w:t>
            </w:r>
          </w:p>
          <w:p w:rsidR="00B248CA" w:rsidRPr="003A59A7" w:rsidRDefault="00B248CA" w:rsidP="00715E70">
            <w:pPr>
              <w:pStyle w:val="TableParagraph"/>
              <w:spacing w:line="200" w:lineRule="exact"/>
              <w:ind w:left="35" w:right="38"/>
              <w:rPr>
                <w:rFonts w:cs="Calibri"/>
                <w:sz w:val="20"/>
                <w:szCs w:val="20"/>
              </w:rPr>
            </w:pPr>
          </w:p>
          <w:p w:rsidR="00B248CA" w:rsidRPr="0081122E" w:rsidRDefault="00B248CA" w:rsidP="00715E70">
            <w:pPr>
              <w:pStyle w:val="TableParagraph"/>
              <w:spacing w:line="200" w:lineRule="exact"/>
              <w:ind w:left="35" w:right="38"/>
              <w:rPr>
                <w:rFonts w:cs="Calibri"/>
                <w:sz w:val="20"/>
                <w:szCs w:val="20"/>
              </w:rPr>
            </w:pPr>
            <w:r>
              <w:rPr>
                <w:sz w:val="20"/>
              </w:rPr>
              <w:t>Directives en matière de politique s’appliquant aux organismes de service en ce qui a trait au Programme de placement en famille hôte 2.0</w:t>
            </w:r>
          </w:p>
        </w:tc>
        <w:tc>
          <w:tcPr>
            <w:tcW w:w="1060"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sz w:val="20"/>
                <w:szCs w:val="20"/>
              </w:rPr>
            </w:pPr>
            <w:r>
              <w:rPr>
                <w:sz w:val="20"/>
              </w:rPr>
              <w:t>Afin d’encourager une compréhension commune du placement en famille hôte, les organismes sont tenus de signer avec la famille hôte une convention qui décrit les attentes de l’organisme à l’égard de la famille hôte et les activités de soutien et de supervision réalisées par l’organisme.</w:t>
            </w:r>
          </w:p>
          <w:p w:rsidR="00B248CA" w:rsidRDefault="00B248CA" w:rsidP="00715E70">
            <w:pPr>
              <w:rPr>
                <w:rFonts w:cs="Calibri"/>
                <w:sz w:val="20"/>
                <w:szCs w:val="20"/>
              </w:rPr>
            </w:pPr>
          </w:p>
          <w:p w:rsidR="00B248CA" w:rsidRDefault="00B248CA" w:rsidP="00715E70">
            <w:pPr>
              <w:rPr>
                <w:rFonts w:cs="Calibri"/>
                <w:sz w:val="20"/>
                <w:szCs w:val="20"/>
              </w:rPr>
            </w:pPr>
            <w:r>
              <w:rPr>
                <w:sz w:val="20"/>
              </w:rPr>
              <w:t>La convention de service signée doit préciser que le personnel de l’organisme peut être joint par la personne placée, la famille hôte ou la famille de la personne placée, le cas échéant.</w:t>
            </w:r>
          </w:p>
          <w:p w:rsidR="00B248CA" w:rsidRDefault="00B248CA" w:rsidP="00715E70">
            <w:pPr>
              <w:rPr>
                <w:rFonts w:cs="Calibri"/>
                <w:sz w:val="20"/>
                <w:szCs w:val="20"/>
              </w:rPr>
            </w:pPr>
          </w:p>
          <w:p w:rsidR="00B248CA" w:rsidRDefault="00B248CA" w:rsidP="00715E70">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jc w:val="center"/>
              <w:rPr>
                <w:rFonts w:cs="Calibri"/>
                <w:sz w:val="20"/>
                <w:szCs w:val="20"/>
              </w:rPr>
            </w:pPr>
            <w:r>
              <w:rPr>
                <w:sz w:val="20"/>
              </w:rPr>
              <w:t>MODÉRÉ</w:t>
            </w:r>
          </w:p>
        </w:tc>
        <w:tc>
          <w:tcPr>
            <w:tcW w:w="816"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rPr>
                <w:rFonts w:cs="Calibri"/>
                <w:sz w:val="20"/>
                <w:szCs w:val="20"/>
              </w:rPr>
            </w:pPr>
            <w:r>
              <w:rPr>
                <w:sz w:val="20"/>
              </w:rPr>
              <w:t>Convention de service</w:t>
            </w:r>
          </w:p>
        </w:tc>
        <w:tc>
          <w:tcPr>
            <w:tcW w:w="848"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La convention de service signée entre l’organisme de service et la famille hôte ne précise pas que le personnel de l’organisme peut être joint par la personne placée, la famille hôte ou la famille de la personne placée, le cas échéant.</w:t>
            </w:r>
          </w:p>
        </w:tc>
        <w:tc>
          <w:tcPr>
            <w:tcW w:w="640"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Une lettre ou un document confirmant que la mesure corrective a été menée à bien.</w:t>
            </w:r>
          </w:p>
        </w:tc>
      </w:tr>
    </w:tbl>
    <w:p w:rsidR="00B248CA" w:rsidRPr="0081122E" w:rsidRDefault="00B248CA" w:rsidP="00B248CA">
      <w:pPr>
        <w:rPr>
          <w:rFonts w:cs="Calibri"/>
          <w:sz w:val="20"/>
          <w:szCs w:val="20"/>
        </w:rPr>
        <w:sectPr w:rsidR="00B248CA" w:rsidRPr="0081122E" w:rsidSect="0049355F">
          <w:pgSz w:w="15840" w:h="12240" w:orient="landscape" w:code="1"/>
          <w:pgMar w:top="2200" w:right="480" w:bottom="420" w:left="500" w:header="600" w:footer="230" w:gutter="0"/>
          <w:cols w:space="720"/>
          <w:docGrid w:linePitch="299"/>
        </w:sectPr>
      </w:pPr>
    </w:p>
    <w:p w:rsidR="00B248CA" w:rsidRPr="0081122E" w:rsidRDefault="00B248CA" w:rsidP="00B248CA">
      <w:pPr>
        <w:spacing w:line="110" w:lineRule="exact"/>
        <w:rPr>
          <w:rFonts w:cs="Calibri"/>
          <w:sz w:val="20"/>
          <w:szCs w:val="20"/>
        </w:rPr>
      </w:pPr>
    </w:p>
    <w:p w:rsidR="00B248CA" w:rsidRPr="0081122E" w:rsidRDefault="00B248CA" w:rsidP="00B248CA">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352"/>
        <w:gridCol w:w="3313"/>
        <w:gridCol w:w="1350"/>
        <w:gridCol w:w="2430"/>
        <w:gridCol w:w="2611"/>
        <w:gridCol w:w="1814"/>
      </w:tblGrid>
      <w:tr w:rsidR="00B248CA" w:rsidRPr="0081122E" w:rsidTr="00715E70">
        <w:trPr>
          <w:trHeight w:val="960"/>
          <w:tblHeader/>
        </w:trPr>
        <w:tc>
          <w:tcPr>
            <w:tcW w:w="1127"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spacing w:before="8" w:line="180" w:lineRule="exact"/>
              <w:rPr>
                <w:rFonts w:cs="Calibri"/>
              </w:rPr>
            </w:pPr>
          </w:p>
          <w:p w:rsidR="00B248CA" w:rsidRPr="00F71B89" w:rsidRDefault="00B248CA" w:rsidP="00715E70">
            <w:pPr>
              <w:pStyle w:val="TableParagraph"/>
              <w:spacing w:line="200" w:lineRule="exact"/>
              <w:rPr>
                <w:rFonts w:cs="Calibri"/>
              </w:rPr>
            </w:pPr>
          </w:p>
          <w:p w:rsidR="00B248CA" w:rsidRPr="00F71B89" w:rsidRDefault="00B248CA" w:rsidP="00715E70">
            <w:pPr>
              <w:pStyle w:val="TableParagraph"/>
              <w:jc w:val="center"/>
              <w:rPr>
                <w:rFonts w:cs="Calibri"/>
                <w:b/>
              </w:rPr>
            </w:pPr>
            <w:r>
              <w:rPr>
                <w:b/>
              </w:rPr>
              <w:t>Dossiers et documents</w:t>
            </w:r>
          </w:p>
          <w:p w:rsidR="00B248CA" w:rsidRPr="00F71B89" w:rsidRDefault="00B248CA" w:rsidP="00715E70">
            <w:pPr>
              <w:pStyle w:val="TableParagraph"/>
              <w:jc w:val="center"/>
              <w:rPr>
                <w:rFonts w:cs="Calibri"/>
              </w:rPr>
            </w:pPr>
          </w:p>
        </w:tc>
        <w:tc>
          <w:tcPr>
            <w:tcW w:w="1114"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jc w:val="center"/>
              <w:rPr>
                <w:rFonts w:cs="Calibri"/>
                <w:b/>
              </w:rPr>
            </w:pPr>
          </w:p>
          <w:p w:rsidR="00B248CA" w:rsidRPr="00F71B89" w:rsidRDefault="00B248CA" w:rsidP="00715E70">
            <w:pPr>
              <w:pStyle w:val="TableParagraph"/>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jc w:val="center"/>
              <w:rPr>
                <w:rFonts w:cs="Calibri"/>
                <w:b/>
              </w:rPr>
            </w:pPr>
          </w:p>
          <w:p w:rsidR="00B248CA" w:rsidRPr="00F71B89" w:rsidRDefault="00B248CA" w:rsidP="00715E70">
            <w:pPr>
              <w:jc w:val="center"/>
              <w:rPr>
                <w:rFonts w:cs="Calibri"/>
              </w:rPr>
            </w:pPr>
            <w:r>
              <w:rPr>
                <w:b/>
              </w:rPr>
              <w:t>Risque</w:t>
            </w:r>
          </w:p>
        </w:tc>
        <w:tc>
          <w:tcPr>
            <w:tcW w:w="817"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spacing w:line="200" w:lineRule="exact"/>
              <w:jc w:val="center"/>
              <w:rPr>
                <w:rFonts w:cs="Calibri"/>
              </w:rPr>
            </w:pPr>
          </w:p>
          <w:p w:rsidR="00B248CA" w:rsidRPr="00F71B89" w:rsidRDefault="00B248CA" w:rsidP="00715E70">
            <w:pPr>
              <w:spacing w:line="200" w:lineRule="exact"/>
              <w:jc w:val="center"/>
              <w:rPr>
                <w:rFonts w:cs="Calibri"/>
                <w:b/>
              </w:rPr>
            </w:pPr>
          </w:p>
          <w:p w:rsidR="00B248CA" w:rsidRPr="00F71B89" w:rsidRDefault="00B248CA" w:rsidP="00715E70">
            <w:pPr>
              <w:spacing w:line="200" w:lineRule="exact"/>
              <w:jc w:val="center"/>
              <w:rPr>
                <w:rFonts w:cs="Calibri"/>
              </w:rPr>
            </w:pPr>
            <w:r>
              <w:rPr>
                <w:b/>
              </w:rPr>
              <w:t>Indicateur</w:t>
            </w:r>
          </w:p>
          <w:p w:rsidR="00B248CA" w:rsidRPr="00F71B89" w:rsidRDefault="00B248CA" w:rsidP="00715E70">
            <w:pPr>
              <w:rPr>
                <w:rFonts w:cs="Calibri"/>
              </w:rPr>
            </w:pPr>
          </w:p>
        </w:tc>
        <w:tc>
          <w:tcPr>
            <w:tcW w:w="878"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jc w:val="center"/>
              <w:rPr>
                <w:rFonts w:cs="Calibri"/>
                <w:b/>
              </w:rPr>
            </w:pPr>
          </w:p>
          <w:p w:rsidR="00B248CA" w:rsidRPr="00F71B89" w:rsidRDefault="00B248CA" w:rsidP="00715E70">
            <w:pPr>
              <w:jc w:val="center"/>
              <w:rPr>
                <w:rFonts w:cs="Calibri"/>
                <w:b/>
              </w:rPr>
            </w:pPr>
            <w:r>
              <w:rPr>
                <w:b/>
              </w:rPr>
              <w:t>Non-conformité constatée</w:t>
            </w:r>
          </w:p>
        </w:tc>
        <w:tc>
          <w:tcPr>
            <w:tcW w:w="610"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jc w:val="center"/>
              <w:rPr>
                <w:rFonts w:cs="Calibri"/>
                <w:b/>
              </w:rPr>
            </w:pPr>
          </w:p>
          <w:p w:rsidR="00B248CA" w:rsidRPr="00F71B89" w:rsidRDefault="00B248CA" w:rsidP="00715E70">
            <w:pPr>
              <w:jc w:val="center"/>
              <w:rPr>
                <w:rFonts w:cs="Calibri"/>
                <w:b/>
              </w:rPr>
            </w:pPr>
            <w:r>
              <w:rPr>
                <w:b/>
              </w:rPr>
              <w:t>Exigence de conformité</w:t>
            </w:r>
          </w:p>
        </w:tc>
      </w:tr>
      <w:tr w:rsidR="00B248CA" w:rsidRPr="0081122E" w:rsidTr="00715E70">
        <w:trPr>
          <w:trHeight w:hRule="exact" w:val="6468"/>
        </w:trPr>
        <w:tc>
          <w:tcPr>
            <w:tcW w:w="1127"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pStyle w:val="TableParagraph"/>
              <w:spacing w:before="48" w:after="60"/>
              <w:ind w:left="35"/>
              <w:rPr>
                <w:rFonts w:cs="Calibri"/>
                <w:sz w:val="20"/>
                <w:szCs w:val="20"/>
              </w:rPr>
            </w:pPr>
          </w:p>
          <w:p w:rsidR="00B248CA" w:rsidRPr="0081122E" w:rsidRDefault="00B248CA" w:rsidP="00715E70">
            <w:pPr>
              <w:pStyle w:val="TableParagraph"/>
              <w:spacing w:before="48" w:after="60"/>
              <w:ind w:left="35"/>
              <w:rPr>
                <w:rFonts w:cs="Calibri"/>
                <w:sz w:val="20"/>
                <w:szCs w:val="20"/>
              </w:rPr>
            </w:pPr>
            <w:r>
              <w:rPr>
                <w:sz w:val="20"/>
              </w:rPr>
              <w:t>82. Convention de service, assurance</w:t>
            </w:r>
          </w:p>
          <w:p w:rsidR="00B248CA" w:rsidRPr="0081122E" w:rsidRDefault="00B248CA" w:rsidP="00715E70">
            <w:pPr>
              <w:pStyle w:val="TableParagraph"/>
              <w:spacing w:before="7" w:line="190" w:lineRule="exact"/>
              <w:rPr>
                <w:rFonts w:cs="Calibri"/>
                <w:sz w:val="20"/>
                <w:szCs w:val="20"/>
              </w:rPr>
            </w:pPr>
          </w:p>
          <w:p w:rsidR="00B248CA" w:rsidRDefault="00B248CA" w:rsidP="00715E70">
            <w:pPr>
              <w:pStyle w:val="TableParagraph"/>
              <w:spacing w:line="200" w:lineRule="exact"/>
              <w:ind w:left="35" w:right="44"/>
              <w:rPr>
                <w:rFonts w:cs="Calibri"/>
                <w:sz w:val="20"/>
                <w:szCs w:val="20"/>
              </w:rPr>
            </w:pPr>
            <w:r>
              <w:rPr>
                <w:sz w:val="20"/>
              </w:rPr>
              <w:t xml:space="preserve">Les organismes de service doivent, pour chaque placement, signer avec la famille hôte une convention qui </w:t>
            </w:r>
            <w:r w:rsidR="00280308">
              <w:rPr>
                <w:sz w:val="20"/>
              </w:rPr>
              <w:t>oblige</w:t>
            </w:r>
            <w:r>
              <w:rPr>
                <w:sz w:val="20"/>
              </w:rPr>
              <w:t xml:space="preserve"> cette dernière </w:t>
            </w:r>
            <w:r w:rsidR="00280308">
              <w:rPr>
                <w:sz w:val="20"/>
              </w:rPr>
              <w:t xml:space="preserve">à </w:t>
            </w:r>
            <w:r>
              <w:rPr>
                <w:sz w:val="20"/>
              </w:rPr>
              <w:t xml:space="preserve">confirmer qu’elle a souscrit une couverture d’assurance (p. ex. assurance habitation, assurance responsabilité civile, assurance automobile). </w:t>
            </w:r>
          </w:p>
          <w:p w:rsidR="00B248CA" w:rsidRDefault="00B248CA" w:rsidP="00715E70">
            <w:pPr>
              <w:pStyle w:val="TableParagraph"/>
              <w:spacing w:line="200" w:lineRule="exact"/>
              <w:ind w:left="35" w:right="44"/>
              <w:rPr>
                <w:rFonts w:cs="Calibri"/>
                <w:sz w:val="20"/>
                <w:szCs w:val="20"/>
              </w:rPr>
            </w:pPr>
          </w:p>
          <w:p w:rsidR="00B248CA" w:rsidRPr="0081122E" w:rsidRDefault="00B248CA" w:rsidP="00715E70">
            <w:pPr>
              <w:pStyle w:val="TableParagraph"/>
              <w:spacing w:line="200" w:lineRule="exact"/>
              <w:ind w:left="35" w:right="44"/>
              <w:rPr>
                <w:rFonts w:cs="Calibri"/>
                <w:sz w:val="20"/>
                <w:szCs w:val="20"/>
              </w:rPr>
            </w:pPr>
            <w:r>
              <w:rPr>
                <w:sz w:val="20"/>
              </w:rPr>
              <w:t>Directives en matière de politique s’appliquant aux organismes de service en ce qui a trait au Programme de placement en famille hôte 2.0</w:t>
            </w:r>
          </w:p>
        </w:tc>
        <w:tc>
          <w:tcPr>
            <w:tcW w:w="111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sz w:val="20"/>
                <w:szCs w:val="20"/>
              </w:rPr>
            </w:pPr>
            <w:r>
              <w:rPr>
                <w:sz w:val="20"/>
              </w:rPr>
              <w:t>Afin d’encourager une compréhension commune du placement en famille hôte, les organismes sont tenus de signer avec la famille hôte une convention qui décrit les attentes de l’organisme à l’égard de la famille hôte et les activités de soutien et de supervision réalisées par l’organisme.</w:t>
            </w:r>
          </w:p>
          <w:p w:rsidR="00B248CA" w:rsidRDefault="00B248CA" w:rsidP="00715E70">
            <w:pPr>
              <w:rPr>
                <w:rFonts w:cs="Calibri"/>
                <w:sz w:val="20"/>
                <w:szCs w:val="20"/>
              </w:rPr>
            </w:pPr>
          </w:p>
          <w:p w:rsidR="00B248CA" w:rsidRDefault="00B248CA" w:rsidP="00715E70">
            <w:pPr>
              <w:rPr>
                <w:rFonts w:cs="Calibri"/>
                <w:sz w:val="20"/>
                <w:szCs w:val="20"/>
              </w:rPr>
            </w:pPr>
            <w:r>
              <w:rPr>
                <w:sz w:val="20"/>
              </w:rPr>
              <w:t>La convention de service signée doit obliger la famille hôte à confirmer qu’elle a souscrit une couverture d’assurance.</w:t>
            </w:r>
          </w:p>
          <w:p w:rsidR="00B248CA" w:rsidRDefault="00B248CA" w:rsidP="00715E70">
            <w:pPr>
              <w:rPr>
                <w:rFonts w:cs="Calibri"/>
                <w:sz w:val="20"/>
                <w:szCs w:val="20"/>
              </w:rPr>
            </w:pPr>
          </w:p>
          <w:p w:rsidR="00B248CA" w:rsidRDefault="00B248CA" w:rsidP="00715E70">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r>
              <w:softHyphen/>
            </w:r>
          </w:p>
          <w:p w:rsidR="00B248CA" w:rsidRDefault="00B248CA" w:rsidP="00715E70">
            <w:pPr>
              <w:jc w:val="center"/>
              <w:rPr>
                <w:rFonts w:cs="Calibri"/>
                <w:sz w:val="20"/>
                <w:szCs w:val="20"/>
              </w:rPr>
            </w:pPr>
            <w:r>
              <w:rPr>
                <w:sz w:val="20"/>
              </w:rPr>
              <w:t>MODÉRÉ</w:t>
            </w:r>
          </w:p>
          <w:p w:rsidR="00B248CA" w:rsidRPr="0081122E" w:rsidRDefault="00B248CA" w:rsidP="00715E70">
            <w:pPr>
              <w:rPr>
                <w:rFonts w:cs="Calibri"/>
                <w:sz w:val="20"/>
                <w:szCs w:val="20"/>
              </w:rPr>
            </w:pPr>
          </w:p>
        </w:tc>
        <w:tc>
          <w:tcPr>
            <w:tcW w:w="817" w:type="pct"/>
            <w:tcBorders>
              <w:top w:val="single" w:sz="4" w:space="0" w:color="000000"/>
              <w:left w:val="single" w:sz="4" w:space="0" w:color="000000"/>
              <w:bottom w:val="single" w:sz="4" w:space="0" w:color="000000"/>
              <w:right w:val="single" w:sz="4" w:space="0" w:color="000000"/>
            </w:tcBorders>
          </w:tcPr>
          <w:p w:rsidR="00B248CA" w:rsidRDefault="00B248CA" w:rsidP="00715E70">
            <w:pPr>
              <w:pStyle w:val="ListParagraph"/>
              <w:rPr>
                <w:rFonts w:cs="Calibri"/>
                <w:sz w:val="20"/>
                <w:szCs w:val="20"/>
              </w:rPr>
            </w:pPr>
          </w:p>
          <w:p w:rsidR="00B248CA" w:rsidRPr="0081122E" w:rsidRDefault="00B248CA" w:rsidP="00715E70">
            <w:pPr>
              <w:pStyle w:val="ListParagraph"/>
              <w:rPr>
                <w:rFonts w:cs="Calibri"/>
                <w:sz w:val="20"/>
                <w:szCs w:val="20"/>
              </w:rPr>
            </w:pPr>
            <w:r>
              <w:rPr>
                <w:sz w:val="20"/>
              </w:rPr>
              <w:t>Convention de service</w:t>
            </w:r>
          </w:p>
          <w:p w:rsidR="00B248CA" w:rsidRPr="0081122E" w:rsidRDefault="00B248CA" w:rsidP="00715E70">
            <w:pPr>
              <w:pStyle w:val="ListParagraph"/>
              <w:rPr>
                <w:rFonts w:cs="Calibri"/>
                <w:sz w:val="20"/>
                <w:szCs w:val="20"/>
              </w:rPr>
            </w:pPr>
          </w:p>
        </w:tc>
        <w:tc>
          <w:tcPr>
            <w:tcW w:w="878"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280308">
            <w:pPr>
              <w:rPr>
                <w:rFonts w:cs="Calibri"/>
                <w:sz w:val="20"/>
                <w:szCs w:val="20"/>
              </w:rPr>
            </w:pPr>
            <w:r>
              <w:rPr>
                <w:sz w:val="20"/>
              </w:rPr>
              <w:t>La convention de service signée entre l’organisme de service et la famille hôte n</w:t>
            </w:r>
            <w:r w:rsidR="00280308">
              <w:rPr>
                <w:sz w:val="20"/>
              </w:rPr>
              <w:t>’oblige</w:t>
            </w:r>
            <w:r>
              <w:rPr>
                <w:sz w:val="20"/>
              </w:rPr>
              <w:t xml:space="preserve"> pas cette dernière </w:t>
            </w:r>
            <w:r w:rsidR="00280308">
              <w:rPr>
                <w:sz w:val="20"/>
              </w:rPr>
              <w:t xml:space="preserve">à </w:t>
            </w:r>
            <w:r>
              <w:rPr>
                <w:sz w:val="20"/>
              </w:rPr>
              <w:t>confirmer qu’elle a souscrit une couverture d’assurance.</w:t>
            </w:r>
          </w:p>
        </w:tc>
        <w:tc>
          <w:tcPr>
            <w:tcW w:w="610"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Une lettre ou un document confirmant que la mesure corrective a été menée à bien.</w:t>
            </w:r>
          </w:p>
        </w:tc>
      </w:tr>
      <w:tr w:rsidR="00B248CA" w:rsidRPr="0081122E" w:rsidTr="00715E70">
        <w:trPr>
          <w:trHeight w:hRule="exact" w:val="6054"/>
        </w:trPr>
        <w:tc>
          <w:tcPr>
            <w:tcW w:w="1127"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pStyle w:val="TableParagraph"/>
              <w:spacing w:before="48"/>
              <w:rPr>
                <w:rFonts w:cs="Calibri"/>
                <w:sz w:val="20"/>
                <w:szCs w:val="20"/>
              </w:rPr>
            </w:pPr>
          </w:p>
          <w:p w:rsidR="00B248CA" w:rsidRPr="0081122E" w:rsidRDefault="00B248CA" w:rsidP="00715E70">
            <w:pPr>
              <w:pStyle w:val="TableParagraph"/>
              <w:spacing w:before="48"/>
              <w:rPr>
                <w:rFonts w:cs="Calibri"/>
                <w:sz w:val="20"/>
                <w:szCs w:val="20"/>
              </w:rPr>
            </w:pPr>
            <w:r>
              <w:rPr>
                <w:sz w:val="20"/>
              </w:rPr>
              <w:t>83. Convention de service, résolution de problèmes et traitement des plaintes</w:t>
            </w:r>
          </w:p>
          <w:p w:rsidR="00B248CA" w:rsidRPr="0081122E" w:rsidRDefault="00B248CA" w:rsidP="00715E70">
            <w:pPr>
              <w:pStyle w:val="TableParagraph"/>
              <w:spacing w:before="7" w:line="190" w:lineRule="exact"/>
              <w:rPr>
                <w:rFonts w:cs="Calibri"/>
                <w:sz w:val="20"/>
                <w:szCs w:val="20"/>
              </w:rPr>
            </w:pPr>
          </w:p>
          <w:p w:rsidR="00B248CA" w:rsidRDefault="00B248CA" w:rsidP="00715E70">
            <w:pPr>
              <w:pStyle w:val="TableParagraph"/>
              <w:spacing w:line="200" w:lineRule="exact"/>
              <w:ind w:right="110"/>
              <w:rPr>
                <w:rFonts w:cs="Calibri"/>
                <w:sz w:val="20"/>
                <w:szCs w:val="20"/>
              </w:rPr>
            </w:pPr>
            <w:r>
              <w:rPr>
                <w:sz w:val="20"/>
              </w:rPr>
              <w:t xml:space="preserve">Les organismes de service doivent, pour chaque placement, signer avec la famille hôte une convention qui prévoit des processus de résolution des problèmes et de traitement des plaintes permettant de régler toute préoccupation formulée par la personne placée à l’égard de la famille hôte. </w:t>
            </w:r>
          </w:p>
          <w:p w:rsidR="00B248CA" w:rsidRDefault="00B248CA" w:rsidP="00715E70">
            <w:pPr>
              <w:pStyle w:val="TableParagraph"/>
              <w:spacing w:line="200" w:lineRule="exact"/>
              <w:ind w:left="35" w:right="110"/>
              <w:rPr>
                <w:rFonts w:cs="Calibri"/>
                <w:sz w:val="20"/>
                <w:szCs w:val="20"/>
              </w:rPr>
            </w:pPr>
          </w:p>
          <w:p w:rsidR="00B248CA" w:rsidRPr="0081122E" w:rsidRDefault="00B248CA" w:rsidP="00715E70">
            <w:pPr>
              <w:pStyle w:val="TableParagraph"/>
              <w:spacing w:line="200" w:lineRule="exact"/>
              <w:ind w:right="110"/>
              <w:rPr>
                <w:rFonts w:cs="Calibri"/>
                <w:sz w:val="20"/>
                <w:szCs w:val="20"/>
              </w:rPr>
            </w:pPr>
            <w:r>
              <w:rPr>
                <w:sz w:val="20"/>
              </w:rPr>
              <w:t>Directives en matière de politique s’appliquant aux organismes de service en ce qui a trait au Programme de placement en famille hôte 2.0</w:t>
            </w:r>
          </w:p>
        </w:tc>
        <w:tc>
          <w:tcPr>
            <w:tcW w:w="111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Afin d’encourager une compréhension commune du placement en famille hôte, les organismes sont tenus de signer avec la famille hôte une convention qui décrit les attentes de l’organisme à l’égard de la famille hôte et les activités de soutien et de supervision réalisées par l’organisme.</w:t>
            </w:r>
          </w:p>
          <w:p w:rsidR="00B248CA" w:rsidRDefault="00B248CA" w:rsidP="00715E70">
            <w:pPr>
              <w:rPr>
                <w:rFonts w:cs="Calibri"/>
                <w:sz w:val="20"/>
                <w:szCs w:val="20"/>
              </w:rPr>
            </w:pPr>
          </w:p>
          <w:p w:rsidR="00B248CA" w:rsidRDefault="00B248CA" w:rsidP="00715E70">
            <w:pPr>
              <w:rPr>
                <w:rFonts w:cs="Calibri"/>
                <w:sz w:val="20"/>
                <w:szCs w:val="20"/>
              </w:rPr>
            </w:pPr>
            <w:r>
              <w:rPr>
                <w:sz w:val="20"/>
              </w:rPr>
              <w:t>La convention de service signée doit aborder les processus de résolution des problèmes et de traitement des plaintes permettant de régler toute préoccupation formulée par la personne placée à l’égard de la famille hôte.</w:t>
            </w:r>
          </w:p>
          <w:p w:rsidR="00B248CA" w:rsidRDefault="00B248CA" w:rsidP="00715E70">
            <w:pPr>
              <w:rPr>
                <w:rFonts w:cs="Calibri"/>
                <w:sz w:val="20"/>
                <w:szCs w:val="20"/>
              </w:rPr>
            </w:pPr>
          </w:p>
          <w:p w:rsidR="00B248CA" w:rsidRDefault="00B248CA" w:rsidP="00715E70">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jc w:val="center"/>
              <w:rPr>
                <w:rFonts w:cs="Calibri"/>
                <w:sz w:val="20"/>
                <w:szCs w:val="20"/>
              </w:rPr>
            </w:pPr>
            <w:r>
              <w:rPr>
                <w:sz w:val="20"/>
              </w:rPr>
              <w:t>MODÉRÉ</w:t>
            </w:r>
          </w:p>
        </w:tc>
        <w:tc>
          <w:tcPr>
            <w:tcW w:w="817" w:type="pct"/>
            <w:tcBorders>
              <w:top w:val="single" w:sz="4" w:space="0" w:color="000000"/>
              <w:left w:val="single" w:sz="4" w:space="0" w:color="000000"/>
              <w:bottom w:val="single" w:sz="4" w:space="0" w:color="000000"/>
              <w:right w:val="single" w:sz="4" w:space="0" w:color="000000"/>
            </w:tcBorders>
          </w:tcPr>
          <w:p w:rsidR="00B248CA" w:rsidRDefault="00B248CA" w:rsidP="00715E70">
            <w:pPr>
              <w:pStyle w:val="ListParagraph"/>
              <w:rPr>
                <w:rFonts w:cs="Calibri"/>
                <w:sz w:val="20"/>
                <w:szCs w:val="20"/>
              </w:rPr>
            </w:pPr>
          </w:p>
          <w:p w:rsidR="00B248CA" w:rsidRPr="0081122E" w:rsidRDefault="00B248CA" w:rsidP="00715E70">
            <w:pPr>
              <w:pStyle w:val="ListParagraph"/>
              <w:rPr>
                <w:rFonts w:cs="Calibri"/>
                <w:sz w:val="20"/>
                <w:szCs w:val="20"/>
              </w:rPr>
            </w:pPr>
            <w:r>
              <w:rPr>
                <w:sz w:val="20"/>
              </w:rPr>
              <w:t>Convention de service</w:t>
            </w:r>
          </w:p>
        </w:tc>
        <w:tc>
          <w:tcPr>
            <w:tcW w:w="878"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La convention de service signée entre l’organisme de service et la famille hôte n’aborde pas les processus de résolution des problèmes et de traitement des plaintes permettant de régler toute préoccupation formulée par la personne placée à l’égard de la famille hôte.</w:t>
            </w:r>
          </w:p>
        </w:tc>
        <w:tc>
          <w:tcPr>
            <w:tcW w:w="610"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Une lettre ou un document confirmant que la mesure corrective a été menée à bien.</w:t>
            </w:r>
          </w:p>
        </w:tc>
      </w:tr>
      <w:tr w:rsidR="00B248CA" w:rsidRPr="0081122E" w:rsidTr="00715E70">
        <w:trPr>
          <w:trHeight w:hRule="exact" w:val="6954"/>
        </w:trPr>
        <w:tc>
          <w:tcPr>
            <w:tcW w:w="1127"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pStyle w:val="TableParagraph"/>
              <w:spacing w:before="48"/>
              <w:ind w:left="35"/>
              <w:rPr>
                <w:rFonts w:cs="Calibri"/>
                <w:sz w:val="20"/>
                <w:szCs w:val="20"/>
              </w:rPr>
            </w:pPr>
          </w:p>
          <w:p w:rsidR="00B248CA" w:rsidRPr="0081122E" w:rsidRDefault="00B248CA" w:rsidP="00715E70">
            <w:pPr>
              <w:pStyle w:val="TableParagraph"/>
              <w:spacing w:before="48"/>
              <w:ind w:left="35"/>
              <w:rPr>
                <w:rFonts w:cs="Calibri"/>
                <w:sz w:val="20"/>
                <w:szCs w:val="20"/>
              </w:rPr>
            </w:pPr>
            <w:r>
              <w:rPr>
                <w:sz w:val="20"/>
              </w:rPr>
              <w:t>84. Convention de service, modification ou fin du placement</w:t>
            </w:r>
          </w:p>
          <w:p w:rsidR="00B248CA" w:rsidRPr="0081122E" w:rsidRDefault="00B248CA" w:rsidP="00715E70">
            <w:pPr>
              <w:pStyle w:val="TableParagraph"/>
              <w:spacing w:before="7" w:line="190" w:lineRule="exact"/>
              <w:rPr>
                <w:rFonts w:cs="Calibri"/>
                <w:sz w:val="20"/>
                <w:szCs w:val="20"/>
              </w:rPr>
            </w:pPr>
          </w:p>
          <w:p w:rsidR="00B248CA" w:rsidRDefault="00B248CA" w:rsidP="00715E70">
            <w:pPr>
              <w:pStyle w:val="TableParagraph"/>
              <w:spacing w:line="200" w:lineRule="exact"/>
              <w:ind w:left="35" w:right="44"/>
              <w:rPr>
                <w:rFonts w:cs="Calibri"/>
                <w:sz w:val="20"/>
                <w:szCs w:val="20"/>
              </w:rPr>
            </w:pPr>
            <w:r>
              <w:rPr>
                <w:sz w:val="20"/>
              </w:rPr>
              <w:t xml:space="preserve">Les organismes de service doivent, pour chaque placement, signer avec la famille hôte une convention qui prévoit les procédures à suivre pour modifier ou mettre fin à un placement et qui précise notamment que tout manquement de la famille hôte à une quelconque disposition peut conduire à la résiliation du placement. </w:t>
            </w:r>
          </w:p>
          <w:p w:rsidR="00B248CA" w:rsidRDefault="00B248CA" w:rsidP="00715E70">
            <w:pPr>
              <w:pStyle w:val="TableParagraph"/>
              <w:spacing w:line="200" w:lineRule="exact"/>
              <w:ind w:left="35" w:right="44"/>
              <w:rPr>
                <w:rFonts w:cs="Calibri"/>
                <w:sz w:val="20"/>
                <w:szCs w:val="20"/>
              </w:rPr>
            </w:pPr>
          </w:p>
          <w:p w:rsidR="00B248CA" w:rsidRPr="0081122E" w:rsidRDefault="00B248CA" w:rsidP="00715E70">
            <w:pPr>
              <w:pStyle w:val="TableParagraph"/>
              <w:spacing w:line="200" w:lineRule="exact"/>
              <w:ind w:right="44"/>
              <w:rPr>
                <w:rFonts w:cs="Calibri"/>
                <w:sz w:val="20"/>
                <w:szCs w:val="20"/>
              </w:rPr>
            </w:pPr>
            <w:r>
              <w:rPr>
                <w:sz w:val="20"/>
              </w:rPr>
              <w:t>Directives en matière de politique s’appliquant aux organismes de service en ce qui a trait au Programme de placement en famille hôte 2.0</w:t>
            </w:r>
          </w:p>
        </w:tc>
        <w:tc>
          <w:tcPr>
            <w:tcW w:w="111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sz w:val="20"/>
                <w:szCs w:val="20"/>
              </w:rPr>
            </w:pPr>
            <w:r>
              <w:rPr>
                <w:sz w:val="20"/>
              </w:rPr>
              <w:t>Afin d’encourager une compréhension commune du placement en famille hôte, les organismes sont tenus de signer avec la famille hôte une convention qui décrit les attentes de l’organisme à l’égard de la famille hôte et les activités de soutien et de supervision réalisées par l’organisme.</w:t>
            </w:r>
          </w:p>
          <w:p w:rsidR="00B248CA" w:rsidRDefault="00B248CA" w:rsidP="00715E70">
            <w:pPr>
              <w:rPr>
                <w:rFonts w:cs="Calibri"/>
                <w:sz w:val="20"/>
                <w:szCs w:val="20"/>
              </w:rPr>
            </w:pPr>
          </w:p>
          <w:p w:rsidR="00B248CA" w:rsidRDefault="00B248CA" w:rsidP="00715E70">
            <w:pPr>
              <w:rPr>
                <w:rFonts w:cs="Calibri"/>
                <w:sz w:val="20"/>
                <w:szCs w:val="20"/>
              </w:rPr>
            </w:pPr>
            <w:r>
              <w:rPr>
                <w:sz w:val="20"/>
              </w:rPr>
              <w:t>La convention de service signée doit aborder les procédures à suivre pour modifier ou mettre fin à un placement.</w:t>
            </w:r>
          </w:p>
          <w:p w:rsidR="00B248CA" w:rsidRDefault="00B248CA" w:rsidP="00715E70">
            <w:pPr>
              <w:rPr>
                <w:rFonts w:cs="Calibri"/>
                <w:sz w:val="20"/>
                <w:szCs w:val="20"/>
              </w:rPr>
            </w:pPr>
          </w:p>
          <w:p w:rsidR="00B248CA" w:rsidRDefault="00B248CA" w:rsidP="00715E70">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jc w:val="center"/>
              <w:rPr>
                <w:rFonts w:cs="Calibri"/>
                <w:sz w:val="20"/>
                <w:szCs w:val="20"/>
              </w:rPr>
            </w:pPr>
            <w:r>
              <w:rPr>
                <w:sz w:val="20"/>
              </w:rPr>
              <w:t>MODÉRÉ</w:t>
            </w:r>
          </w:p>
          <w:p w:rsidR="00B248CA" w:rsidRPr="0081122E" w:rsidRDefault="00B248CA" w:rsidP="00715E70">
            <w:pPr>
              <w:rPr>
                <w:rFonts w:cs="Calibri"/>
                <w:sz w:val="20"/>
                <w:szCs w:val="20"/>
              </w:rPr>
            </w:pPr>
          </w:p>
        </w:tc>
        <w:tc>
          <w:tcPr>
            <w:tcW w:w="817" w:type="pct"/>
            <w:tcBorders>
              <w:top w:val="single" w:sz="4" w:space="0" w:color="000000"/>
              <w:left w:val="single" w:sz="4" w:space="0" w:color="000000"/>
              <w:bottom w:val="single" w:sz="4" w:space="0" w:color="000000"/>
              <w:right w:val="single" w:sz="4" w:space="0" w:color="000000"/>
            </w:tcBorders>
          </w:tcPr>
          <w:p w:rsidR="00B248CA" w:rsidRDefault="00B248CA" w:rsidP="00715E70">
            <w:pPr>
              <w:pStyle w:val="ListParagraph"/>
              <w:rPr>
                <w:rFonts w:cs="Calibri"/>
                <w:sz w:val="20"/>
                <w:szCs w:val="20"/>
              </w:rPr>
            </w:pPr>
          </w:p>
          <w:p w:rsidR="00B248CA" w:rsidRPr="0081122E" w:rsidRDefault="00B248CA" w:rsidP="00715E70">
            <w:pPr>
              <w:pStyle w:val="ListParagraph"/>
              <w:rPr>
                <w:rFonts w:cs="Calibri"/>
                <w:sz w:val="20"/>
                <w:szCs w:val="20"/>
              </w:rPr>
            </w:pPr>
            <w:r>
              <w:rPr>
                <w:sz w:val="20"/>
              </w:rPr>
              <w:t>Convention de service</w:t>
            </w:r>
          </w:p>
        </w:tc>
        <w:tc>
          <w:tcPr>
            <w:tcW w:w="878"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La convention de service signée entre l’organisme de service et la famille hôte n’aborde pas les procédures à suivre pour modifier ou mettre fin à un placement et ne précise pas que tout manquement de la famille hôte à une quelconque disposition peut conduire à la résiliation du placement.</w:t>
            </w:r>
          </w:p>
        </w:tc>
        <w:tc>
          <w:tcPr>
            <w:tcW w:w="610"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Une lettre ou un document confirmant que la mesure corrective a été menée à bien.</w:t>
            </w:r>
          </w:p>
        </w:tc>
      </w:tr>
      <w:tr w:rsidR="00B248CA" w:rsidRPr="0081122E" w:rsidTr="00715E70">
        <w:trPr>
          <w:trHeight w:hRule="exact" w:val="7764"/>
        </w:trPr>
        <w:tc>
          <w:tcPr>
            <w:tcW w:w="1127"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rPr>
                <w:sz w:val="20"/>
                <w:szCs w:val="20"/>
              </w:rPr>
            </w:pPr>
          </w:p>
          <w:p w:rsidR="00B248CA" w:rsidRPr="001547D5" w:rsidRDefault="00B248CA" w:rsidP="00715E70">
            <w:pPr>
              <w:rPr>
                <w:sz w:val="20"/>
                <w:szCs w:val="20"/>
              </w:rPr>
            </w:pPr>
            <w:r>
              <w:rPr>
                <w:sz w:val="20"/>
              </w:rPr>
              <w:t>85. Convention de service, conflit d’intérêts</w:t>
            </w:r>
          </w:p>
          <w:p w:rsidR="00B248CA" w:rsidRPr="001547D5" w:rsidRDefault="00B248CA" w:rsidP="00715E70">
            <w:pPr>
              <w:rPr>
                <w:sz w:val="20"/>
                <w:szCs w:val="20"/>
              </w:rPr>
            </w:pPr>
          </w:p>
          <w:p w:rsidR="00B248CA" w:rsidRPr="001547D5" w:rsidRDefault="00B248CA" w:rsidP="00715E70">
            <w:pPr>
              <w:rPr>
                <w:color w:val="000000"/>
                <w:sz w:val="20"/>
                <w:szCs w:val="20"/>
              </w:rPr>
            </w:pPr>
            <w:r>
              <w:rPr>
                <w:color w:val="000000"/>
                <w:sz w:val="20"/>
              </w:rPr>
              <w:t xml:space="preserve">Les organismes de service doivent, pour chaque placement, signer avec la famille hôte une convention qui prévoit les moyens de gérer tout conflit d’intérêts éventuel (p. ex. si un membre de la famille hôte fait aussi partie du personnel de l’organisme ou qu’il siège au conseil d’administration dudit organisme). </w:t>
            </w:r>
          </w:p>
          <w:p w:rsidR="00B248CA" w:rsidRPr="001547D5" w:rsidRDefault="00B248CA" w:rsidP="00715E70">
            <w:pPr>
              <w:rPr>
                <w:color w:val="000000"/>
                <w:sz w:val="20"/>
                <w:szCs w:val="20"/>
              </w:rPr>
            </w:pPr>
          </w:p>
          <w:p w:rsidR="00B248CA" w:rsidRPr="001547D5" w:rsidRDefault="00B248CA" w:rsidP="00715E70">
            <w:pPr>
              <w:rPr>
                <w:color w:val="000000"/>
                <w:sz w:val="20"/>
                <w:szCs w:val="20"/>
              </w:rPr>
            </w:pPr>
            <w:r>
              <w:rPr>
                <w:color w:val="000000"/>
                <w:sz w:val="20"/>
              </w:rPr>
              <w:t>Directives en matière de politique s’appliquant aux organismes de service en ce qui a trait au Programme de placement en famille hôte 2.0</w:t>
            </w:r>
          </w:p>
          <w:p w:rsidR="00B248CA" w:rsidRPr="0081122E" w:rsidRDefault="00B248CA" w:rsidP="00715E70">
            <w:pPr>
              <w:pStyle w:val="TableParagraph"/>
              <w:spacing w:line="200" w:lineRule="exact"/>
              <w:ind w:left="35" w:right="44"/>
              <w:rPr>
                <w:rFonts w:cs="Calibri"/>
                <w:sz w:val="20"/>
                <w:szCs w:val="20"/>
              </w:rPr>
            </w:pPr>
          </w:p>
        </w:tc>
        <w:tc>
          <w:tcPr>
            <w:tcW w:w="111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Afin d’encourager une compréhension commune du placement en famille hôte, les organismes sont tenus de signer avec la famille hôte une convention qui décrit les attentes de l’organisme à l’égard de la famille hôte et les activités de soutien et de supervision réalisées par l’organisme.</w:t>
            </w:r>
          </w:p>
          <w:p w:rsidR="00B248CA" w:rsidRDefault="00B248CA" w:rsidP="00715E70">
            <w:pPr>
              <w:rPr>
                <w:rFonts w:cs="Calibri"/>
                <w:sz w:val="20"/>
                <w:szCs w:val="20"/>
              </w:rPr>
            </w:pPr>
          </w:p>
          <w:p w:rsidR="00B248CA" w:rsidRDefault="00B248CA" w:rsidP="00715E70">
            <w:pPr>
              <w:rPr>
                <w:rFonts w:cs="Calibri"/>
                <w:sz w:val="20"/>
                <w:szCs w:val="20"/>
              </w:rPr>
            </w:pPr>
            <w:r>
              <w:rPr>
                <w:sz w:val="20"/>
              </w:rPr>
              <w:t>La convention de service signée doit aborder les moyens de gérer tout conflit d’intérêts éventuel.</w:t>
            </w:r>
          </w:p>
          <w:p w:rsidR="00B248CA" w:rsidRDefault="00B248CA" w:rsidP="00715E70">
            <w:pPr>
              <w:rPr>
                <w:rFonts w:cs="Calibri"/>
                <w:sz w:val="20"/>
                <w:szCs w:val="20"/>
              </w:rPr>
            </w:pPr>
          </w:p>
          <w:p w:rsidR="00B248CA" w:rsidRDefault="00B248CA" w:rsidP="00715E70">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jc w:val="center"/>
              <w:rPr>
                <w:rFonts w:cs="Calibri"/>
                <w:sz w:val="20"/>
                <w:szCs w:val="20"/>
              </w:rPr>
            </w:pPr>
            <w:r>
              <w:rPr>
                <w:sz w:val="20"/>
              </w:rPr>
              <w:t>MODÉRÉ</w:t>
            </w:r>
          </w:p>
        </w:tc>
        <w:tc>
          <w:tcPr>
            <w:tcW w:w="817" w:type="pct"/>
            <w:tcBorders>
              <w:top w:val="single" w:sz="4" w:space="0" w:color="000000"/>
              <w:left w:val="single" w:sz="4" w:space="0" w:color="000000"/>
              <w:bottom w:val="single" w:sz="4" w:space="0" w:color="000000"/>
              <w:right w:val="single" w:sz="4" w:space="0" w:color="000000"/>
            </w:tcBorders>
          </w:tcPr>
          <w:p w:rsidR="00B248CA" w:rsidRDefault="00B248CA" w:rsidP="00715E70">
            <w:pPr>
              <w:pStyle w:val="ListParagraph"/>
              <w:rPr>
                <w:rFonts w:cs="Calibri"/>
                <w:sz w:val="20"/>
                <w:szCs w:val="20"/>
              </w:rPr>
            </w:pPr>
          </w:p>
          <w:p w:rsidR="00B248CA" w:rsidRPr="0081122E" w:rsidRDefault="00B248CA" w:rsidP="00715E70">
            <w:pPr>
              <w:pStyle w:val="ListParagraph"/>
              <w:rPr>
                <w:rFonts w:cs="Calibri"/>
                <w:sz w:val="20"/>
                <w:szCs w:val="20"/>
              </w:rPr>
            </w:pPr>
            <w:r>
              <w:rPr>
                <w:sz w:val="20"/>
              </w:rPr>
              <w:t>Convention de service</w:t>
            </w:r>
          </w:p>
        </w:tc>
        <w:tc>
          <w:tcPr>
            <w:tcW w:w="878"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 xml:space="preserve">La convention de service signée entre l’organisme de service et la famille hôte n’aborde pas les moyens de gérer tout conflit d’intérêts éventuel </w:t>
            </w:r>
            <w:r>
              <w:rPr>
                <w:color w:val="000000"/>
                <w:sz w:val="20"/>
              </w:rPr>
              <w:t xml:space="preserve">(p. ex. si un membre de la famille hôte fait aussi partie du personnel de l’organisme ou qu’il siège au conseil d’administration dudit organisme). </w:t>
            </w:r>
          </w:p>
        </w:tc>
        <w:tc>
          <w:tcPr>
            <w:tcW w:w="610"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Une lettre ou un document confirmant que la mesure corrective a été menée à bien.</w:t>
            </w:r>
          </w:p>
        </w:tc>
      </w:tr>
    </w:tbl>
    <w:p w:rsidR="00B248CA" w:rsidRPr="0081122E" w:rsidRDefault="00B248CA" w:rsidP="00B248CA">
      <w:pPr>
        <w:rPr>
          <w:rFonts w:cs="Calibri"/>
          <w:sz w:val="20"/>
          <w:szCs w:val="20"/>
        </w:rPr>
        <w:sectPr w:rsidR="00B248CA" w:rsidRPr="0081122E" w:rsidSect="0049355F">
          <w:pgSz w:w="15840" w:h="12240" w:orient="landscape" w:code="1"/>
          <w:pgMar w:top="2200" w:right="480" w:bottom="420" w:left="500" w:header="600" w:footer="230" w:gutter="0"/>
          <w:cols w:space="720"/>
          <w:docGrid w:linePitch="299"/>
        </w:sectPr>
      </w:pPr>
    </w:p>
    <w:p w:rsidR="00B248CA" w:rsidRPr="0081122E" w:rsidRDefault="00B248CA" w:rsidP="00B248CA">
      <w:pPr>
        <w:spacing w:line="110" w:lineRule="exact"/>
        <w:rPr>
          <w:rFonts w:cs="Calibri"/>
          <w:sz w:val="20"/>
          <w:szCs w:val="20"/>
        </w:rPr>
      </w:pPr>
    </w:p>
    <w:p w:rsidR="00B248CA" w:rsidRPr="0081122E" w:rsidRDefault="00B248CA" w:rsidP="00B248CA">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334"/>
        <w:gridCol w:w="3331"/>
        <w:gridCol w:w="1350"/>
        <w:gridCol w:w="2430"/>
        <w:gridCol w:w="2611"/>
        <w:gridCol w:w="1814"/>
      </w:tblGrid>
      <w:tr w:rsidR="00B248CA" w:rsidRPr="0081122E" w:rsidTr="00715E70">
        <w:trPr>
          <w:trHeight w:val="960"/>
          <w:tblHeader/>
        </w:trPr>
        <w:tc>
          <w:tcPr>
            <w:tcW w:w="1121"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spacing w:before="8" w:line="180" w:lineRule="exact"/>
              <w:rPr>
                <w:rFonts w:cs="Calibri"/>
              </w:rPr>
            </w:pPr>
          </w:p>
          <w:p w:rsidR="00B248CA" w:rsidRPr="00F71B89" w:rsidRDefault="00B248CA" w:rsidP="00715E70">
            <w:pPr>
              <w:pStyle w:val="TableParagraph"/>
              <w:spacing w:line="200" w:lineRule="exact"/>
              <w:rPr>
                <w:rFonts w:cs="Calibri"/>
              </w:rPr>
            </w:pPr>
          </w:p>
          <w:p w:rsidR="00B248CA" w:rsidRPr="00F71B89" w:rsidRDefault="00B248CA" w:rsidP="00715E70">
            <w:pPr>
              <w:pStyle w:val="TableParagraph"/>
              <w:jc w:val="center"/>
              <w:rPr>
                <w:rFonts w:cs="Calibri"/>
                <w:b/>
              </w:rPr>
            </w:pPr>
            <w:r>
              <w:rPr>
                <w:b/>
              </w:rPr>
              <w:t>Dossiers et documents</w:t>
            </w:r>
          </w:p>
          <w:p w:rsidR="00B248CA" w:rsidRPr="00F71B89" w:rsidRDefault="00B248CA" w:rsidP="00715E70">
            <w:pPr>
              <w:pStyle w:val="TableParagraph"/>
              <w:jc w:val="center"/>
              <w:rPr>
                <w:rFonts w:cs="Calibri"/>
              </w:rPr>
            </w:pPr>
          </w:p>
        </w:tc>
        <w:tc>
          <w:tcPr>
            <w:tcW w:w="1120"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jc w:val="center"/>
              <w:rPr>
                <w:rFonts w:cs="Calibri"/>
                <w:b/>
              </w:rPr>
            </w:pPr>
          </w:p>
          <w:p w:rsidR="00B248CA" w:rsidRPr="00F71B89" w:rsidRDefault="00B248CA" w:rsidP="00715E70">
            <w:pPr>
              <w:pStyle w:val="TableParagraph"/>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jc w:val="center"/>
              <w:rPr>
                <w:rFonts w:cs="Calibri"/>
                <w:b/>
              </w:rPr>
            </w:pPr>
          </w:p>
          <w:p w:rsidR="00B248CA" w:rsidRPr="00F71B89" w:rsidRDefault="00B248CA" w:rsidP="00715E70">
            <w:pPr>
              <w:jc w:val="center"/>
              <w:rPr>
                <w:rFonts w:cs="Calibri"/>
              </w:rPr>
            </w:pPr>
            <w:r>
              <w:rPr>
                <w:b/>
              </w:rPr>
              <w:t>Risque</w:t>
            </w:r>
          </w:p>
        </w:tc>
        <w:tc>
          <w:tcPr>
            <w:tcW w:w="817"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spacing w:line="200" w:lineRule="exact"/>
              <w:jc w:val="center"/>
              <w:rPr>
                <w:rFonts w:cs="Calibri"/>
              </w:rPr>
            </w:pPr>
          </w:p>
          <w:p w:rsidR="00B248CA" w:rsidRPr="00F71B89" w:rsidRDefault="00B248CA" w:rsidP="00715E70">
            <w:pPr>
              <w:spacing w:line="200" w:lineRule="exact"/>
              <w:jc w:val="center"/>
              <w:rPr>
                <w:rFonts w:cs="Calibri"/>
                <w:b/>
              </w:rPr>
            </w:pPr>
          </w:p>
          <w:p w:rsidR="00B248CA" w:rsidRPr="00F71B89" w:rsidRDefault="00B248CA" w:rsidP="00715E70">
            <w:pPr>
              <w:spacing w:line="200" w:lineRule="exact"/>
              <w:jc w:val="center"/>
              <w:rPr>
                <w:rFonts w:cs="Calibri"/>
              </w:rPr>
            </w:pPr>
            <w:r>
              <w:rPr>
                <w:b/>
              </w:rPr>
              <w:t>Indicateur</w:t>
            </w:r>
          </w:p>
          <w:p w:rsidR="00B248CA" w:rsidRPr="00F71B89" w:rsidRDefault="00B248CA" w:rsidP="00715E70">
            <w:pPr>
              <w:rPr>
                <w:rFonts w:cs="Calibri"/>
              </w:rPr>
            </w:pPr>
          </w:p>
        </w:tc>
        <w:tc>
          <w:tcPr>
            <w:tcW w:w="878"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jc w:val="center"/>
              <w:rPr>
                <w:rFonts w:cs="Calibri"/>
                <w:b/>
              </w:rPr>
            </w:pPr>
          </w:p>
          <w:p w:rsidR="00B248CA" w:rsidRPr="00F71B89" w:rsidRDefault="00B248CA" w:rsidP="00715E70">
            <w:pPr>
              <w:jc w:val="center"/>
              <w:rPr>
                <w:rFonts w:cs="Calibri"/>
                <w:b/>
              </w:rPr>
            </w:pPr>
            <w:r>
              <w:rPr>
                <w:b/>
              </w:rPr>
              <w:t>Non-conformité constatée</w:t>
            </w:r>
          </w:p>
        </w:tc>
        <w:tc>
          <w:tcPr>
            <w:tcW w:w="610"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jc w:val="center"/>
              <w:rPr>
                <w:rFonts w:cs="Calibri"/>
                <w:b/>
              </w:rPr>
            </w:pPr>
          </w:p>
          <w:p w:rsidR="00B248CA" w:rsidRPr="00F71B89" w:rsidRDefault="00B248CA" w:rsidP="00715E70">
            <w:pPr>
              <w:jc w:val="center"/>
              <w:rPr>
                <w:rFonts w:cs="Calibri"/>
                <w:b/>
              </w:rPr>
            </w:pPr>
            <w:r>
              <w:rPr>
                <w:b/>
              </w:rPr>
              <w:t>Exigence de conformité</w:t>
            </w:r>
          </w:p>
        </w:tc>
      </w:tr>
      <w:tr w:rsidR="00B248CA" w:rsidRPr="0081122E" w:rsidTr="00715E70">
        <w:trPr>
          <w:trHeight w:hRule="exact" w:val="6828"/>
        </w:trPr>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pStyle w:val="TableParagraph"/>
              <w:spacing w:before="48" w:after="60"/>
              <w:ind w:left="35"/>
              <w:rPr>
                <w:rFonts w:cs="Calibri"/>
                <w:sz w:val="20"/>
                <w:szCs w:val="20"/>
              </w:rPr>
            </w:pPr>
          </w:p>
          <w:p w:rsidR="00B248CA" w:rsidRPr="0081122E" w:rsidRDefault="00B248CA" w:rsidP="00715E70">
            <w:pPr>
              <w:pStyle w:val="TableParagraph"/>
              <w:spacing w:before="48" w:after="60"/>
              <w:ind w:left="35"/>
              <w:rPr>
                <w:rFonts w:cs="Calibri"/>
                <w:sz w:val="20"/>
                <w:szCs w:val="20"/>
              </w:rPr>
            </w:pPr>
            <w:r>
              <w:rPr>
                <w:sz w:val="20"/>
              </w:rPr>
              <w:t>86. Soutien et supervision; séances de formation et d’orientation</w:t>
            </w:r>
          </w:p>
          <w:p w:rsidR="00B248CA" w:rsidRPr="0081122E" w:rsidRDefault="00B248CA" w:rsidP="00715E70">
            <w:pPr>
              <w:pStyle w:val="TableParagraph"/>
              <w:spacing w:before="7" w:line="190" w:lineRule="exact"/>
              <w:rPr>
                <w:rFonts w:cs="Calibri"/>
                <w:sz w:val="20"/>
                <w:szCs w:val="20"/>
              </w:rPr>
            </w:pPr>
          </w:p>
          <w:p w:rsidR="00B248CA" w:rsidRDefault="00B248CA" w:rsidP="00715E70">
            <w:pPr>
              <w:pStyle w:val="TableParagraph"/>
              <w:spacing w:line="200" w:lineRule="exact"/>
              <w:ind w:left="35" w:right="38"/>
              <w:rPr>
                <w:rFonts w:cs="Calibri"/>
                <w:sz w:val="20"/>
                <w:szCs w:val="20"/>
              </w:rPr>
            </w:pPr>
            <w:r>
              <w:rPr>
                <w:sz w:val="20"/>
              </w:rPr>
              <w:t xml:space="preserve">Au minimum, les organismes de service doivent fournir des séances de formation et d’orientation à la famille hôte, y compris en ce qui concerne l’obtention d’un certificat initial de réanimation cardio-respiratoire (RCR) et de secourisme, la préservation de la confidentialité, la prévention et le signalement des mauvais traitements (selon les politiques et les consignes de l’organisme), le traitement des plaintes, le respect des droits et la prestation des soins, ainsi que tout autre sujet que l’organisme juge utile. </w:t>
            </w:r>
          </w:p>
          <w:p w:rsidR="00B248CA" w:rsidRDefault="00B248CA" w:rsidP="00715E70">
            <w:pPr>
              <w:pStyle w:val="TableParagraph"/>
              <w:spacing w:line="200" w:lineRule="exact"/>
              <w:ind w:left="35" w:right="38"/>
              <w:rPr>
                <w:rFonts w:cs="Calibri"/>
                <w:sz w:val="20"/>
                <w:szCs w:val="20"/>
              </w:rPr>
            </w:pPr>
          </w:p>
          <w:p w:rsidR="00B248CA" w:rsidRPr="0081122E" w:rsidRDefault="00B248CA" w:rsidP="00715E70">
            <w:pPr>
              <w:pStyle w:val="TableParagraph"/>
              <w:spacing w:line="200" w:lineRule="exact"/>
              <w:ind w:left="35" w:right="38"/>
              <w:rPr>
                <w:rFonts w:cs="Calibri"/>
                <w:sz w:val="20"/>
                <w:szCs w:val="20"/>
              </w:rPr>
            </w:pPr>
            <w:r>
              <w:rPr>
                <w:sz w:val="20"/>
              </w:rPr>
              <w:t>Directives en matière de politique s’appliquant aux organismes de service en ce qui a trait au Programme de placement en famille hôte 3.1</w:t>
            </w:r>
          </w:p>
        </w:tc>
        <w:tc>
          <w:tcPr>
            <w:tcW w:w="1120"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Les activités continues de soutien et de supervision des placements au sein de familles hôtes doivent promouvoir la sécurité de la personne placée et de la famille hôte.</w:t>
            </w:r>
          </w:p>
          <w:p w:rsidR="00B248CA" w:rsidRDefault="00B248CA" w:rsidP="00715E70">
            <w:pPr>
              <w:rPr>
                <w:rFonts w:cs="Calibri"/>
                <w:sz w:val="20"/>
                <w:szCs w:val="20"/>
              </w:rPr>
            </w:pPr>
          </w:p>
          <w:p w:rsidR="00B248CA" w:rsidRDefault="00B248CA" w:rsidP="00715E70">
            <w:pPr>
              <w:rPr>
                <w:rFonts w:cs="Calibri"/>
                <w:sz w:val="20"/>
                <w:szCs w:val="20"/>
              </w:rPr>
            </w:pPr>
            <w:r>
              <w:rPr>
                <w:sz w:val="20"/>
              </w:rPr>
              <w:t>Il est important que l’organisme de service fournisse des séances de formation et d’orientation à la famille hôte.</w:t>
            </w:r>
          </w:p>
          <w:p w:rsidR="00B248CA" w:rsidRDefault="00B248CA" w:rsidP="00715E70">
            <w:pPr>
              <w:rPr>
                <w:rFonts w:cs="Calibri"/>
                <w:sz w:val="20"/>
                <w:szCs w:val="20"/>
              </w:rPr>
            </w:pPr>
          </w:p>
          <w:p w:rsidR="00B248CA" w:rsidRDefault="00B248CA" w:rsidP="00715E70">
            <w:pPr>
              <w:autoSpaceDE w:val="0"/>
              <w:autoSpaceDN w:val="0"/>
              <w:adjustRightInd w:val="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jc w:val="center"/>
              <w:rPr>
                <w:rFonts w:cs="Calibri"/>
                <w:sz w:val="20"/>
                <w:szCs w:val="20"/>
              </w:rPr>
            </w:pPr>
            <w:r>
              <w:rPr>
                <w:sz w:val="20"/>
              </w:rPr>
              <w:t>MODÉRÉ</w:t>
            </w:r>
          </w:p>
        </w:tc>
        <w:tc>
          <w:tcPr>
            <w:tcW w:w="817" w:type="pct"/>
            <w:tcBorders>
              <w:top w:val="single" w:sz="4" w:space="0" w:color="000000"/>
              <w:left w:val="single" w:sz="4" w:space="0" w:color="000000"/>
              <w:bottom w:val="single" w:sz="4" w:space="0" w:color="000000"/>
              <w:right w:val="single" w:sz="4" w:space="0" w:color="000000"/>
            </w:tcBorders>
          </w:tcPr>
          <w:p w:rsidR="00B248CA" w:rsidRDefault="00B248CA" w:rsidP="00715E70">
            <w:pPr>
              <w:pStyle w:val="TableParagraph"/>
              <w:rPr>
                <w:rFonts w:cs="Calibri"/>
                <w:sz w:val="20"/>
                <w:szCs w:val="20"/>
              </w:rPr>
            </w:pPr>
          </w:p>
          <w:p w:rsidR="00B248CA" w:rsidRPr="0081122E" w:rsidRDefault="00B248CA" w:rsidP="00715E70">
            <w:pPr>
              <w:pStyle w:val="TableParagraph"/>
              <w:rPr>
                <w:rFonts w:cs="Calibri"/>
                <w:sz w:val="20"/>
                <w:szCs w:val="20"/>
              </w:rPr>
            </w:pPr>
            <w:r>
              <w:rPr>
                <w:sz w:val="20"/>
              </w:rPr>
              <w:t>Documents d’orientation et documents préalables au placement; formulaires de confirmation et d’approbation, documents de formation au secourisme, à la RCR, à la prévention et au signalement des mauvais traitements, ainsi qu’au processus de traitement des plaintes; dossiers de formation annuels.</w:t>
            </w:r>
          </w:p>
        </w:tc>
        <w:tc>
          <w:tcPr>
            <w:tcW w:w="878"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Aucune preuve ne permet de confirmer que l’organisme de service a fourni des séances de formation et d’orientation à la famille hôte, y compris en ce qui concerne l’obtention d’un certificat initial de réanimation cardio-respiratoire (RCR) et de secourisme, la préservation de la confidentialité, la prévention et le signalement des mauvais traitements (selon les politiques et les consignes de l’organisme), le traitement des plaintes, le respect des droits et la prestation des soins, ainsi que tout autre sujet que l’organisme juge utile.</w:t>
            </w:r>
          </w:p>
        </w:tc>
        <w:tc>
          <w:tcPr>
            <w:tcW w:w="610"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Une lettre ou un document confirmant que la mesure corrective a été menée à bien.</w:t>
            </w:r>
          </w:p>
        </w:tc>
      </w:tr>
      <w:tr w:rsidR="00B248CA" w:rsidRPr="0081122E" w:rsidTr="00715E70">
        <w:trPr>
          <w:trHeight w:hRule="exact" w:val="7044"/>
        </w:trPr>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rPr>
                <w:rFonts w:cs="Calibri"/>
                <w:color w:val="000000"/>
              </w:rPr>
            </w:pPr>
          </w:p>
          <w:p w:rsidR="00B248CA" w:rsidRPr="00A81582" w:rsidRDefault="00B248CA" w:rsidP="00715E70">
            <w:pPr>
              <w:rPr>
                <w:rFonts w:cs="Calibri"/>
                <w:color w:val="000000"/>
                <w:sz w:val="20"/>
                <w:szCs w:val="20"/>
              </w:rPr>
            </w:pPr>
            <w:r>
              <w:rPr>
                <w:color w:val="000000"/>
                <w:sz w:val="20"/>
              </w:rPr>
              <w:t>87. Soutien et supervision; soutien continu</w:t>
            </w:r>
          </w:p>
          <w:p w:rsidR="00B248CA" w:rsidRDefault="00B248CA" w:rsidP="00715E70">
            <w:pPr>
              <w:pStyle w:val="TableParagraph"/>
              <w:spacing w:line="200" w:lineRule="exact"/>
              <w:ind w:left="35" w:right="38"/>
              <w:rPr>
                <w:rFonts w:cs="Calibri"/>
                <w:sz w:val="20"/>
                <w:szCs w:val="20"/>
              </w:rPr>
            </w:pPr>
          </w:p>
          <w:p w:rsidR="00B248CA" w:rsidRDefault="00B248CA" w:rsidP="00715E70">
            <w:pPr>
              <w:pStyle w:val="TableParagraph"/>
              <w:spacing w:line="200" w:lineRule="exact"/>
              <w:ind w:left="35" w:right="38"/>
              <w:rPr>
                <w:rFonts w:cs="Calibri"/>
                <w:sz w:val="20"/>
                <w:szCs w:val="20"/>
              </w:rPr>
            </w:pPr>
            <w:r>
              <w:rPr>
                <w:sz w:val="20"/>
              </w:rPr>
              <w:t xml:space="preserve">Au minimum, les organismes de service doivent fournir un soutien continu à la famille hôte suivant les besoins (p. ex. soutien à la transition, renseignements sur la collectivité, coordonnées d’autres familles hôtes qui pourront fournir des conseils et du soutien). </w:t>
            </w:r>
          </w:p>
          <w:p w:rsidR="00B248CA" w:rsidRDefault="00B248CA" w:rsidP="00715E70">
            <w:pPr>
              <w:pStyle w:val="TableParagraph"/>
              <w:spacing w:line="200" w:lineRule="exact"/>
              <w:ind w:left="35" w:right="38"/>
              <w:rPr>
                <w:rFonts w:cs="Calibri"/>
                <w:sz w:val="20"/>
                <w:szCs w:val="20"/>
              </w:rPr>
            </w:pPr>
          </w:p>
          <w:p w:rsidR="00B248CA" w:rsidRPr="0081122E" w:rsidRDefault="00B248CA" w:rsidP="00715E70">
            <w:pPr>
              <w:pStyle w:val="TableParagraph"/>
              <w:spacing w:line="200" w:lineRule="exact"/>
              <w:ind w:left="35" w:right="38"/>
              <w:rPr>
                <w:rFonts w:cs="Calibri"/>
                <w:sz w:val="20"/>
                <w:szCs w:val="20"/>
              </w:rPr>
            </w:pPr>
            <w:r>
              <w:rPr>
                <w:sz w:val="20"/>
              </w:rPr>
              <w:t>Directives en matière de politique s’appliquant aux organismes de service en ce qui a trait au Programme de placement en famille hôte 3.1</w:t>
            </w:r>
          </w:p>
        </w:tc>
        <w:tc>
          <w:tcPr>
            <w:tcW w:w="1120"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rFonts w:asciiTheme="minorHAnsi" w:hAnsiTheme="minorHAnsi" w:cstheme="minorHAnsi"/>
                <w:sz w:val="20"/>
              </w:rPr>
              <w:t>Les activités de soutien et de supervision continues réalisées par l’organisme auprès des personnes placées et des familles hôtes contribuent à établir et à entretenir des relations durables. Elles permettent également de promouvoir et de garantir le bien-être de toutes les personnes participant au placement en famille hôte.</w:t>
            </w:r>
          </w:p>
          <w:p w:rsidR="00B248CA" w:rsidRDefault="00B248CA" w:rsidP="00715E70">
            <w:pPr>
              <w:rPr>
                <w:rFonts w:cs="Calibri"/>
                <w:sz w:val="20"/>
                <w:szCs w:val="20"/>
              </w:rPr>
            </w:pPr>
          </w:p>
          <w:p w:rsidR="00B248CA" w:rsidRDefault="00B248CA" w:rsidP="00715E70">
            <w:pPr>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jc w:val="center"/>
              <w:rPr>
                <w:rFonts w:cs="Calibri"/>
                <w:sz w:val="20"/>
                <w:szCs w:val="20"/>
              </w:rPr>
            </w:pPr>
          </w:p>
          <w:p w:rsidR="00B248CA" w:rsidRPr="0081122E" w:rsidRDefault="00B248CA" w:rsidP="00715E70">
            <w:pPr>
              <w:jc w:val="center"/>
              <w:rPr>
                <w:rFonts w:cs="Calibri"/>
                <w:sz w:val="20"/>
                <w:szCs w:val="20"/>
              </w:rPr>
            </w:pPr>
            <w:r>
              <w:rPr>
                <w:sz w:val="20"/>
              </w:rPr>
              <w:t>MODÉRÉ</w:t>
            </w:r>
          </w:p>
        </w:tc>
        <w:tc>
          <w:tcPr>
            <w:tcW w:w="817" w:type="pct"/>
            <w:tcBorders>
              <w:top w:val="single" w:sz="4" w:space="0" w:color="000000"/>
              <w:left w:val="single" w:sz="4" w:space="0" w:color="000000"/>
              <w:bottom w:val="single" w:sz="4" w:space="0" w:color="000000"/>
              <w:right w:val="single" w:sz="4" w:space="0" w:color="000000"/>
            </w:tcBorders>
          </w:tcPr>
          <w:p w:rsidR="00B248CA" w:rsidRDefault="00B248CA" w:rsidP="00715E70">
            <w:pPr>
              <w:pStyle w:val="TableParagraph"/>
              <w:rPr>
                <w:rFonts w:cs="Calibri"/>
                <w:sz w:val="20"/>
                <w:szCs w:val="20"/>
              </w:rPr>
            </w:pPr>
          </w:p>
          <w:p w:rsidR="00B248CA" w:rsidRPr="0081122E" w:rsidRDefault="00B248CA" w:rsidP="00715E70">
            <w:pPr>
              <w:pStyle w:val="TableParagraph"/>
              <w:rPr>
                <w:rFonts w:cs="Calibri"/>
                <w:sz w:val="20"/>
                <w:szCs w:val="20"/>
              </w:rPr>
            </w:pPr>
            <w:r>
              <w:rPr>
                <w:sz w:val="20"/>
              </w:rPr>
              <w:t>Comptes rendus des rencontres, communications par courriel.</w:t>
            </w:r>
          </w:p>
        </w:tc>
        <w:tc>
          <w:tcPr>
            <w:tcW w:w="878"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280308">
            <w:pPr>
              <w:rPr>
                <w:rFonts w:cs="Calibri"/>
                <w:sz w:val="20"/>
                <w:szCs w:val="20"/>
              </w:rPr>
            </w:pPr>
            <w:r>
              <w:rPr>
                <w:sz w:val="20"/>
              </w:rPr>
              <w:t xml:space="preserve">Aucune preuve ne permet de confirmer que l’organisme de service a fourni un soutien continu à la famille hôte </w:t>
            </w:r>
            <w:r w:rsidR="00280308">
              <w:rPr>
                <w:sz w:val="20"/>
              </w:rPr>
              <w:t>suivant</w:t>
            </w:r>
            <w:r>
              <w:rPr>
                <w:sz w:val="20"/>
              </w:rPr>
              <w:t xml:space="preserve"> les besoins.</w:t>
            </w:r>
          </w:p>
        </w:tc>
        <w:tc>
          <w:tcPr>
            <w:tcW w:w="610"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Une lettre ou un document confirmant que la mesure corrective a été menée à bien.</w:t>
            </w:r>
          </w:p>
        </w:tc>
      </w:tr>
    </w:tbl>
    <w:p w:rsidR="00B248CA" w:rsidRPr="0081122E" w:rsidRDefault="00B248CA" w:rsidP="00B248CA">
      <w:pPr>
        <w:rPr>
          <w:rFonts w:cs="Calibri"/>
          <w:sz w:val="20"/>
          <w:szCs w:val="20"/>
        </w:rPr>
        <w:sectPr w:rsidR="00B248CA" w:rsidRPr="0081122E" w:rsidSect="0049355F">
          <w:pgSz w:w="15840" w:h="12240" w:orient="landscape" w:code="1"/>
          <w:pgMar w:top="2200" w:right="480" w:bottom="420" w:left="500" w:header="600" w:footer="230" w:gutter="0"/>
          <w:cols w:space="720"/>
          <w:docGrid w:linePitch="299"/>
        </w:sectPr>
      </w:pPr>
    </w:p>
    <w:p w:rsidR="00B248CA" w:rsidRPr="0081122E" w:rsidRDefault="00B248CA" w:rsidP="00B248CA">
      <w:pPr>
        <w:spacing w:line="110" w:lineRule="exact"/>
        <w:rPr>
          <w:rFonts w:cs="Calibri"/>
          <w:sz w:val="20"/>
          <w:szCs w:val="20"/>
        </w:rPr>
      </w:pPr>
    </w:p>
    <w:p w:rsidR="00B248CA" w:rsidRPr="0081122E" w:rsidRDefault="00B248CA" w:rsidP="00B248CA">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438"/>
        <w:gridCol w:w="3227"/>
        <w:gridCol w:w="1350"/>
        <w:gridCol w:w="2385"/>
        <w:gridCol w:w="2492"/>
        <w:gridCol w:w="1978"/>
      </w:tblGrid>
      <w:tr w:rsidR="00B248CA" w:rsidRPr="0081122E" w:rsidTr="00715E70">
        <w:trPr>
          <w:trHeight w:val="63"/>
          <w:tblHeader/>
        </w:trPr>
        <w:tc>
          <w:tcPr>
            <w:tcW w:w="1156"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spacing w:before="8" w:line="180" w:lineRule="exact"/>
              <w:rPr>
                <w:rFonts w:cs="Calibri"/>
              </w:rPr>
            </w:pPr>
          </w:p>
          <w:p w:rsidR="00B248CA" w:rsidRPr="00F71B89" w:rsidRDefault="00B248CA" w:rsidP="00715E70">
            <w:pPr>
              <w:pStyle w:val="TableParagraph"/>
              <w:jc w:val="center"/>
              <w:rPr>
                <w:rFonts w:cs="Calibri"/>
                <w:b/>
              </w:rPr>
            </w:pPr>
          </w:p>
          <w:p w:rsidR="00B248CA" w:rsidRPr="00F71B89" w:rsidRDefault="00B248CA" w:rsidP="00715E70">
            <w:pPr>
              <w:pStyle w:val="TableParagraph"/>
              <w:jc w:val="center"/>
              <w:rPr>
                <w:rFonts w:cs="Calibri"/>
                <w:b/>
              </w:rPr>
            </w:pPr>
            <w:r>
              <w:rPr>
                <w:b/>
              </w:rPr>
              <w:t>Dossiers et documents</w:t>
            </w:r>
          </w:p>
          <w:p w:rsidR="00B248CA" w:rsidRPr="00F71B89" w:rsidRDefault="00B248CA" w:rsidP="00715E70">
            <w:pPr>
              <w:pStyle w:val="TableParagraph"/>
              <w:jc w:val="center"/>
              <w:rPr>
                <w:rFonts w:cs="Calibri"/>
              </w:rPr>
            </w:pPr>
          </w:p>
        </w:tc>
        <w:tc>
          <w:tcPr>
            <w:tcW w:w="1085"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jc w:val="center"/>
              <w:rPr>
                <w:rFonts w:cs="Calibri"/>
                <w:b/>
              </w:rPr>
            </w:pPr>
          </w:p>
          <w:p w:rsidR="00B248CA" w:rsidRPr="00F71B89" w:rsidRDefault="00B248CA" w:rsidP="00715E70">
            <w:pPr>
              <w:pStyle w:val="TableParagraph"/>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jc w:val="center"/>
              <w:rPr>
                <w:rFonts w:cs="Calibri"/>
                <w:b/>
              </w:rPr>
            </w:pPr>
          </w:p>
          <w:p w:rsidR="00B248CA" w:rsidRPr="00F71B89" w:rsidRDefault="00B248CA" w:rsidP="00715E70">
            <w:pPr>
              <w:jc w:val="center"/>
              <w:rPr>
                <w:rFonts w:cs="Calibri"/>
              </w:rPr>
            </w:pPr>
            <w:r>
              <w:rPr>
                <w:b/>
              </w:rPr>
              <w:t>Risque</w:t>
            </w:r>
          </w:p>
        </w:tc>
        <w:tc>
          <w:tcPr>
            <w:tcW w:w="802"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spacing w:line="200" w:lineRule="exact"/>
              <w:jc w:val="center"/>
              <w:rPr>
                <w:rFonts w:cs="Calibri"/>
              </w:rPr>
            </w:pPr>
          </w:p>
          <w:p w:rsidR="00B248CA" w:rsidRPr="00F71B89" w:rsidRDefault="00B248CA" w:rsidP="00715E70">
            <w:pPr>
              <w:spacing w:line="200" w:lineRule="exact"/>
              <w:jc w:val="center"/>
              <w:rPr>
                <w:rFonts w:cs="Calibri"/>
                <w:b/>
              </w:rPr>
            </w:pPr>
          </w:p>
          <w:p w:rsidR="00B248CA" w:rsidRPr="00F71B89" w:rsidRDefault="00B248CA" w:rsidP="00715E70">
            <w:pPr>
              <w:spacing w:line="200" w:lineRule="exact"/>
              <w:jc w:val="center"/>
              <w:rPr>
                <w:rFonts w:cs="Calibri"/>
              </w:rPr>
            </w:pPr>
            <w:r>
              <w:rPr>
                <w:b/>
              </w:rPr>
              <w:t>Indicateur</w:t>
            </w:r>
          </w:p>
          <w:p w:rsidR="00B248CA" w:rsidRPr="00F71B89" w:rsidRDefault="00B248CA" w:rsidP="00715E70">
            <w:pPr>
              <w:rPr>
                <w:rFonts w:cs="Calibri"/>
              </w:rPr>
            </w:pPr>
          </w:p>
        </w:tc>
        <w:tc>
          <w:tcPr>
            <w:tcW w:w="838"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jc w:val="center"/>
              <w:rPr>
                <w:rFonts w:cs="Calibri"/>
                <w:b/>
              </w:rPr>
            </w:pPr>
          </w:p>
          <w:p w:rsidR="00B248CA" w:rsidRPr="00F71B89" w:rsidRDefault="00B248CA" w:rsidP="00715E70">
            <w:pPr>
              <w:jc w:val="center"/>
              <w:rPr>
                <w:rFonts w:cs="Calibri"/>
                <w:b/>
              </w:rPr>
            </w:pPr>
            <w:r>
              <w:rPr>
                <w:b/>
              </w:rPr>
              <w:t>Non-conformité constatée</w:t>
            </w:r>
          </w:p>
        </w:tc>
        <w:tc>
          <w:tcPr>
            <w:tcW w:w="665"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jc w:val="center"/>
              <w:rPr>
                <w:rFonts w:cs="Calibri"/>
                <w:b/>
              </w:rPr>
            </w:pPr>
          </w:p>
          <w:p w:rsidR="00B248CA" w:rsidRPr="00F71B89" w:rsidRDefault="00B248CA" w:rsidP="00715E70">
            <w:pPr>
              <w:jc w:val="center"/>
              <w:rPr>
                <w:rFonts w:cs="Calibri"/>
              </w:rPr>
            </w:pPr>
            <w:r>
              <w:rPr>
                <w:b/>
              </w:rPr>
              <w:t>Exigence de conformité</w:t>
            </w:r>
          </w:p>
        </w:tc>
      </w:tr>
      <w:tr w:rsidR="00B248CA" w:rsidRPr="0081122E" w:rsidTr="00E67072">
        <w:trPr>
          <w:trHeight w:hRule="exact" w:val="7929"/>
        </w:trPr>
        <w:tc>
          <w:tcPr>
            <w:tcW w:w="1156"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pStyle w:val="TableParagraph"/>
              <w:spacing w:before="48"/>
              <w:ind w:left="35"/>
              <w:rPr>
                <w:rFonts w:cs="Calibri"/>
                <w:sz w:val="20"/>
                <w:szCs w:val="20"/>
              </w:rPr>
            </w:pPr>
          </w:p>
          <w:p w:rsidR="00B248CA" w:rsidRPr="0081122E" w:rsidRDefault="00B248CA" w:rsidP="00715E70">
            <w:pPr>
              <w:pStyle w:val="TableParagraph"/>
              <w:spacing w:before="48"/>
              <w:ind w:left="35"/>
              <w:rPr>
                <w:rFonts w:cs="Calibri"/>
                <w:sz w:val="20"/>
                <w:szCs w:val="20"/>
              </w:rPr>
            </w:pPr>
            <w:r>
              <w:rPr>
                <w:sz w:val="20"/>
              </w:rPr>
              <w:t>88. Soutien et supervision; services de relève</w:t>
            </w:r>
          </w:p>
          <w:p w:rsidR="00B248CA" w:rsidRPr="0081122E" w:rsidRDefault="00B248CA" w:rsidP="00715E70">
            <w:pPr>
              <w:pStyle w:val="TableParagraph"/>
              <w:spacing w:before="7" w:line="190" w:lineRule="exact"/>
              <w:rPr>
                <w:rFonts w:cs="Calibri"/>
                <w:sz w:val="20"/>
                <w:szCs w:val="20"/>
              </w:rPr>
            </w:pPr>
          </w:p>
          <w:p w:rsidR="00B248CA" w:rsidRDefault="00B248CA" w:rsidP="00715E70">
            <w:pPr>
              <w:pStyle w:val="TableParagraph"/>
              <w:spacing w:line="200" w:lineRule="exact"/>
              <w:ind w:left="35" w:right="38"/>
              <w:rPr>
                <w:rFonts w:cs="Calibri"/>
                <w:sz w:val="20"/>
                <w:szCs w:val="20"/>
              </w:rPr>
            </w:pPr>
            <w:r>
              <w:rPr>
                <w:sz w:val="20"/>
              </w:rPr>
              <w:t>Au minimum, les organismes de service doivent soutenir les services et soutiens de relève pour fournisseurs de soins en tenant compte des conditions de la convention de service conclue avec l’organisme qui visent</w:t>
            </w:r>
            <w:r w:rsidR="00E67072">
              <w:rPr>
                <w:sz w:val="20"/>
              </w:rPr>
              <w:t>,</w:t>
            </w:r>
            <w:r>
              <w:rPr>
                <w:sz w:val="20"/>
              </w:rPr>
              <w:t xml:space="preserve"> par exemple</w:t>
            </w:r>
            <w:r w:rsidR="00E67072">
              <w:rPr>
                <w:sz w:val="20"/>
              </w:rPr>
              <w:t>,</w:t>
            </w:r>
            <w:r>
              <w:rPr>
                <w:sz w:val="20"/>
              </w:rPr>
              <w:t xml:space="preserve"> les services de relève planifiés et d’urgence, le cas échéant. </w:t>
            </w:r>
          </w:p>
          <w:p w:rsidR="00B248CA" w:rsidRDefault="00B248CA" w:rsidP="00715E70">
            <w:pPr>
              <w:pStyle w:val="TableParagraph"/>
              <w:spacing w:line="200" w:lineRule="exact"/>
              <w:ind w:left="35" w:right="38"/>
              <w:rPr>
                <w:rFonts w:cs="Calibri"/>
                <w:sz w:val="20"/>
                <w:szCs w:val="20"/>
              </w:rPr>
            </w:pPr>
          </w:p>
          <w:p w:rsidR="00B248CA" w:rsidRDefault="00B248CA" w:rsidP="00715E70">
            <w:pPr>
              <w:pStyle w:val="TableParagraph"/>
              <w:spacing w:line="200" w:lineRule="exact"/>
              <w:ind w:left="35" w:right="38"/>
              <w:rPr>
                <w:rFonts w:cs="Calibri"/>
                <w:sz w:val="20"/>
                <w:szCs w:val="20"/>
              </w:rPr>
            </w:pPr>
            <w:r>
              <w:rPr>
                <w:sz w:val="20"/>
              </w:rPr>
              <w:t>Directives en matière de politique s’appliquant aux organismes de service en ce qui a trait au Programme de placement en famille hôte 3.1</w:t>
            </w:r>
          </w:p>
          <w:p w:rsidR="00B248CA" w:rsidRDefault="00B248CA" w:rsidP="00715E70">
            <w:pPr>
              <w:pStyle w:val="TableParagraph"/>
              <w:spacing w:line="200" w:lineRule="exact"/>
              <w:ind w:left="35" w:right="38"/>
              <w:rPr>
                <w:rFonts w:cs="Calibri"/>
                <w:sz w:val="20"/>
                <w:szCs w:val="20"/>
              </w:rPr>
            </w:pPr>
          </w:p>
          <w:p w:rsidR="00B248CA" w:rsidRDefault="00B248CA" w:rsidP="00715E70">
            <w:pPr>
              <w:pStyle w:val="TableParagraph"/>
              <w:spacing w:line="200" w:lineRule="exact"/>
              <w:ind w:left="35" w:right="38"/>
              <w:rPr>
                <w:rFonts w:cs="Calibri"/>
                <w:sz w:val="20"/>
                <w:szCs w:val="20"/>
              </w:rPr>
            </w:pPr>
          </w:p>
          <w:p w:rsidR="00B248CA" w:rsidRDefault="00B248CA" w:rsidP="00715E70">
            <w:pPr>
              <w:pStyle w:val="TableParagraph"/>
              <w:spacing w:line="200" w:lineRule="exact"/>
              <w:ind w:left="35" w:right="38"/>
              <w:rPr>
                <w:rFonts w:cs="Calibri"/>
                <w:sz w:val="20"/>
                <w:szCs w:val="20"/>
              </w:rPr>
            </w:pPr>
          </w:p>
          <w:p w:rsidR="00B248CA" w:rsidRDefault="00B248CA" w:rsidP="00715E70">
            <w:pPr>
              <w:pStyle w:val="TableParagraph"/>
              <w:spacing w:line="200" w:lineRule="exact"/>
              <w:ind w:left="35" w:right="38"/>
              <w:rPr>
                <w:rFonts w:cs="Calibri"/>
                <w:sz w:val="20"/>
                <w:szCs w:val="20"/>
              </w:rPr>
            </w:pPr>
          </w:p>
          <w:p w:rsidR="00B248CA" w:rsidRDefault="00B248CA" w:rsidP="00715E70">
            <w:pPr>
              <w:pStyle w:val="TableParagraph"/>
              <w:spacing w:line="200" w:lineRule="exact"/>
              <w:ind w:left="35" w:right="38"/>
              <w:rPr>
                <w:rFonts w:cs="Calibri"/>
                <w:sz w:val="20"/>
                <w:szCs w:val="20"/>
              </w:rPr>
            </w:pPr>
          </w:p>
          <w:p w:rsidR="00B248CA" w:rsidRDefault="00B248CA" w:rsidP="00715E70">
            <w:pPr>
              <w:pStyle w:val="TableParagraph"/>
              <w:spacing w:line="200" w:lineRule="exact"/>
              <w:ind w:left="35" w:right="38"/>
              <w:rPr>
                <w:rFonts w:cs="Calibri"/>
                <w:sz w:val="20"/>
                <w:szCs w:val="20"/>
              </w:rPr>
            </w:pPr>
          </w:p>
          <w:p w:rsidR="00B248CA" w:rsidRDefault="00B248CA" w:rsidP="00715E70">
            <w:pPr>
              <w:pStyle w:val="TableParagraph"/>
              <w:spacing w:line="200" w:lineRule="exact"/>
              <w:ind w:left="35" w:right="38"/>
              <w:rPr>
                <w:rFonts w:cs="Calibri"/>
                <w:sz w:val="20"/>
                <w:szCs w:val="20"/>
              </w:rPr>
            </w:pPr>
          </w:p>
          <w:p w:rsidR="00B248CA" w:rsidRDefault="00B248CA" w:rsidP="00715E70">
            <w:pPr>
              <w:pStyle w:val="TableParagraph"/>
              <w:spacing w:line="200" w:lineRule="exact"/>
              <w:ind w:left="35" w:right="38"/>
              <w:rPr>
                <w:rFonts w:cs="Calibri"/>
                <w:sz w:val="20"/>
                <w:szCs w:val="20"/>
              </w:rPr>
            </w:pPr>
          </w:p>
          <w:p w:rsidR="00B248CA" w:rsidRDefault="00B248CA" w:rsidP="00715E70">
            <w:pPr>
              <w:pStyle w:val="TableParagraph"/>
              <w:spacing w:line="200" w:lineRule="exact"/>
              <w:ind w:left="35" w:right="38"/>
              <w:rPr>
                <w:rFonts w:cs="Calibri"/>
                <w:sz w:val="20"/>
                <w:szCs w:val="20"/>
              </w:rPr>
            </w:pPr>
          </w:p>
          <w:p w:rsidR="00B248CA" w:rsidRDefault="00B248CA" w:rsidP="00715E70">
            <w:pPr>
              <w:pStyle w:val="TableParagraph"/>
              <w:spacing w:line="200" w:lineRule="exact"/>
              <w:ind w:left="35" w:right="38"/>
              <w:rPr>
                <w:rFonts w:cs="Calibri"/>
                <w:sz w:val="20"/>
                <w:szCs w:val="20"/>
              </w:rPr>
            </w:pPr>
          </w:p>
          <w:p w:rsidR="00B248CA" w:rsidRDefault="00B248CA" w:rsidP="00715E70">
            <w:pPr>
              <w:pStyle w:val="TableParagraph"/>
              <w:spacing w:line="200" w:lineRule="exact"/>
              <w:ind w:left="35" w:right="38"/>
              <w:rPr>
                <w:rFonts w:cs="Calibri"/>
                <w:sz w:val="20"/>
                <w:szCs w:val="20"/>
              </w:rPr>
            </w:pPr>
          </w:p>
          <w:p w:rsidR="00B248CA" w:rsidRDefault="00B248CA" w:rsidP="00715E70">
            <w:pPr>
              <w:pStyle w:val="TableParagraph"/>
              <w:spacing w:line="200" w:lineRule="exact"/>
              <w:ind w:left="35" w:right="38"/>
              <w:rPr>
                <w:rFonts w:cs="Calibri"/>
                <w:sz w:val="20"/>
                <w:szCs w:val="20"/>
              </w:rPr>
            </w:pPr>
          </w:p>
          <w:p w:rsidR="00B248CA" w:rsidRDefault="00B248CA" w:rsidP="00715E70">
            <w:pPr>
              <w:pStyle w:val="TableParagraph"/>
              <w:spacing w:line="200" w:lineRule="exact"/>
              <w:ind w:left="35" w:right="38"/>
              <w:rPr>
                <w:rFonts w:cs="Calibri"/>
                <w:sz w:val="20"/>
                <w:szCs w:val="20"/>
              </w:rPr>
            </w:pPr>
          </w:p>
          <w:p w:rsidR="00B248CA" w:rsidRDefault="00B248CA" w:rsidP="00715E70">
            <w:pPr>
              <w:pStyle w:val="TableParagraph"/>
              <w:spacing w:line="200" w:lineRule="exact"/>
              <w:ind w:left="35" w:right="38"/>
              <w:rPr>
                <w:rFonts w:cs="Calibri"/>
                <w:sz w:val="20"/>
                <w:szCs w:val="20"/>
              </w:rPr>
            </w:pPr>
          </w:p>
          <w:p w:rsidR="00B248CA" w:rsidRDefault="00B248CA" w:rsidP="00715E70">
            <w:pPr>
              <w:pStyle w:val="TableParagraph"/>
              <w:spacing w:line="200" w:lineRule="exact"/>
              <w:ind w:left="35" w:right="38"/>
              <w:rPr>
                <w:rFonts w:cs="Calibri"/>
                <w:sz w:val="20"/>
                <w:szCs w:val="20"/>
              </w:rPr>
            </w:pPr>
          </w:p>
          <w:p w:rsidR="00B248CA" w:rsidRDefault="00B248CA" w:rsidP="00E67072">
            <w:pPr>
              <w:pStyle w:val="TableParagraph"/>
              <w:spacing w:line="200" w:lineRule="exact"/>
              <w:ind w:right="38"/>
              <w:rPr>
                <w:rFonts w:cs="Calibri"/>
                <w:sz w:val="20"/>
                <w:szCs w:val="20"/>
              </w:rPr>
            </w:pPr>
          </w:p>
          <w:p w:rsidR="00B248CA" w:rsidRPr="0081122E" w:rsidRDefault="00B248CA" w:rsidP="00715E70">
            <w:pPr>
              <w:pStyle w:val="TableParagraph"/>
              <w:spacing w:line="200" w:lineRule="exact"/>
              <w:ind w:left="35" w:right="38"/>
              <w:rPr>
                <w:rFonts w:cs="Calibri"/>
                <w:sz w:val="20"/>
                <w:szCs w:val="20"/>
              </w:rPr>
            </w:pPr>
          </w:p>
        </w:tc>
        <w:tc>
          <w:tcPr>
            <w:tcW w:w="1085"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rFonts w:asciiTheme="minorHAnsi" w:hAnsiTheme="minorHAnsi" w:cstheme="minorHAnsi"/>
                <w:sz w:val="20"/>
              </w:rPr>
              <w:t>Les activités de soutien et de supervision continues réalisées par l’organisme auprès des personnes placées et des familles hôtes contribuent à établir et à entretenir des relations durables. Elles permettent également de promouvoir et de garantir le bien-être de toutes les personnes participant au placement en famille hôte.</w:t>
            </w:r>
          </w:p>
          <w:p w:rsidR="00B248CA" w:rsidRDefault="00B248CA" w:rsidP="00715E70">
            <w:pPr>
              <w:rPr>
                <w:rFonts w:cs="Calibri"/>
                <w:sz w:val="20"/>
                <w:szCs w:val="20"/>
              </w:rPr>
            </w:pPr>
          </w:p>
          <w:p w:rsidR="00B248CA" w:rsidRDefault="00B248CA" w:rsidP="00715E70">
            <w:pPr>
              <w:rPr>
                <w:rFonts w:cs="Calibri"/>
                <w:sz w:val="20"/>
                <w:szCs w:val="20"/>
              </w:rPr>
            </w:pPr>
            <w:r>
              <w:rPr>
                <w:sz w:val="20"/>
              </w:rPr>
              <w:t xml:space="preserve">L’organisme de service doit prendre ses dispositions pour assurer la prestation de services et soutiens aux fournisseurs de soins de la famille hôte de manière à respecter les conditions énoncées dans la convention de service signée entre l’organisme et la famille hôte. </w:t>
            </w:r>
          </w:p>
          <w:p w:rsidR="00B248CA" w:rsidRDefault="00B248CA" w:rsidP="00715E70">
            <w:pPr>
              <w:rPr>
                <w:rFonts w:cs="Calibri"/>
                <w:sz w:val="20"/>
                <w:szCs w:val="20"/>
              </w:rPr>
            </w:pPr>
          </w:p>
          <w:p w:rsidR="00B248CA" w:rsidRPr="003A262A" w:rsidRDefault="00B248CA" w:rsidP="00715E70">
            <w:pPr>
              <w:pStyle w:val="ListParagraph"/>
              <w:ind w:left="360"/>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jc w:val="center"/>
              <w:rPr>
                <w:rFonts w:cs="Calibri"/>
                <w:sz w:val="20"/>
                <w:szCs w:val="20"/>
              </w:rPr>
            </w:pPr>
            <w:r>
              <w:rPr>
                <w:sz w:val="20"/>
              </w:rPr>
              <w:t>MODÉRÉ</w:t>
            </w:r>
          </w:p>
          <w:p w:rsidR="00B248CA" w:rsidRPr="0081122E" w:rsidRDefault="00B248CA" w:rsidP="00715E70">
            <w:pPr>
              <w:rPr>
                <w:rFonts w:cs="Calibri"/>
                <w:sz w:val="20"/>
                <w:szCs w:val="20"/>
              </w:rPr>
            </w:pPr>
          </w:p>
        </w:tc>
        <w:tc>
          <w:tcPr>
            <w:tcW w:w="802" w:type="pct"/>
            <w:tcBorders>
              <w:top w:val="single" w:sz="4" w:space="0" w:color="000000"/>
              <w:left w:val="single" w:sz="4" w:space="0" w:color="000000"/>
              <w:bottom w:val="single" w:sz="4" w:space="0" w:color="000000"/>
              <w:right w:val="single" w:sz="4" w:space="0" w:color="000000"/>
            </w:tcBorders>
          </w:tcPr>
          <w:p w:rsidR="00B248CA" w:rsidRDefault="00B248CA" w:rsidP="00715E70">
            <w:pPr>
              <w:pStyle w:val="ListParagraph"/>
              <w:rPr>
                <w:rFonts w:cs="Calibri"/>
                <w:sz w:val="20"/>
                <w:szCs w:val="20"/>
              </w:rPr>
            </w:pPr>
          </w:p>
          <w:p w:rsidR="00B248CA" w:rsidRPr="0081122E" w:rsidRDefault="00B248CA" w:rsidP="00715E70">
            <w:pPr>
              <w:pStyle w:val="ListParagraph"/>
              <w:rPr>
                <w:rFonts w:cs="Calibri"/>
                <w:sz w:val="20"/>
                <w:szCs w:val="20"/>
              </w:rPr>
            </w:pPr>
            <w:r>
              <w:rPr>
                <w:sz w:val="20"/>
              </w:rPr>
              <w:t>Convention de service; conventions de soins de relève; factures pour des services de relève</w:t>
            </w:r>
            <w:r w:rsidR="00E67072">
              <w:rPr>
                <w:sz w:val="20"/>
              </w:rPr>
              <w:t>.</w:t>
            </w:r>
          </w:p>
        </w:tc>
        <w:tc>
          <w:tcPr>
            <w:tcW w:w="838"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pStyle w:val="TableParagraph"/>
              <w:spacing w:line="200" w:lineRule="exact"/>
              <w:ind w:left="35" w:right="38"/>
              <w:rPr>
                <w:rFonts w:cs="Calibri"/>
                <w:sz w:val="20"/>
                <w:szCs w:val="20"/>
              </w:rPr>
            </w:pPr>
            <w:r>
              <w:rPr>
                <w:sz w:val="20"/>
              </w:rPr>
              <w:t>Aucune preuve ne permet de confirmer que l’organisme de service a soutenu les services et soutiens de relève pour fournisseurs de soins en tenant compte des conditions de la convention de service conclue avec l’organisme qui visent</w:t>
            </w:r>
            <w:r w:rsidR="00E67072">
              <w:rPr>
                <w:sz w:val="20"/>
              </w:rPr>
              <w:t>,</w:t>
            </w:r>
            <w:r>
              <w:rPr>
                <w:sz w:val="20"/>
              </w:rPr>
              <w:t xml:space="preserve"> par exemple</w:t>
            </w:r>
            <w:r w:rsidR="00E67072">
              <w:rPr>
                <w:sz w:val="20"/>
              </w:rPr>
              <w:t>,</w:t>
            </w:r>
            <w:r>
              <w:rPr>
                <w:sz w:val="20"/>
              </w:rPr>
              <w:t xml:space="preserve"> les services de relève planifiés et d’urgence, le cas échéant. </w:t>
            </w:r>
          </w:p>
          <w:p w:rsidR="00B248CA" w:rsidRDefault="00B248CA" w:rsidP="00715E70">
            <w:pPr>
              <w:rPr>
                <w:rFonts w:cs="Calibri"/>
                <w:sz w:val="20"/>
                <w:szCs w:val="20"/>
              </w:rPr>
            </w:pPr>
          </w:p>
          <w:p w:rsidR="00B248CA" w:rsidRPr="00F71B89" w:rsidRDefault="00B248CA" w:rsidP="00715E70">
            <w:pPr>
              <w:rPr>
                <w:rFonts w:asciiTheme="minorHAnsi" w:hAnsiTheme="minorHAnsi" w:cstheme="minorHAnsi"/>
                <w:color w:val="984806" w:themeColor="accent6" w:themeShade="80"/>
                <w:sz w:val="20"/>
                <w:szCs w:val="20"/>
              </w:rPr>
            </w:pPr>
          </w:p>
          <w:p w:rsidR="00B248CA" w:rsidRDefault="00B248CA" w:rsidP="00715E70">
            <w:pPr>
              <w:rPr>
                <w:rFonts w:cs="Calibri"/>
                <w:sz w:val="20"/>
                <w:szCs w:val="20"/>
              </w:rPr>
            </w:pPr>
          </w:p>
        </w:tc>
        <w:tc>
          <w:tcPr>
            <w:tcW w:w="665"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Une lettre ou un document confirmant que la mesure corrective a été menée à bien.</w:t>
            </w:r>
          </w:p>
        </w:tc>
      </w:tr>
      <w:tr w:rsidR="00B248CA" w:rsidRPr="0081122E" w:rsidTr="00E67072">
        <w:trPr>
          <w:trHeight w:hRule="exact" w:val="7645"/>
        </w:trPr>
        <w:tc>
          <w:tcPr>
            <w:tcW w:w="1156"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pStyle w:val="TableParagraph"/>
              <w:spacing w:line="200" w:lineRule="exact"/>
              <w:ind w:left="35" w:right="38"/>
              <w:rPr>
                <w:rFonts w:cs="Calibri"/>
                <w:sz w:val="20"/>
                <w:szCs w:val="20"/>
              </w:rPr>
            </w:pPr>
          </w:p>
          <w:p w:rsidR="00B248CA" w:rsidRDefault="00B248CA" w:rsidP="00715E70">
            <w:pPr>
              <w:pStyle w:val="TableParagraph"/>
              <w:spacing w:before="48" w:after="60"/>
              <w:ind w:left="35"/>
              <w:rPr>
                <w:rFonts w:cs="Calibri"/>
                <w:sz w:val="20"/>
                <w:szCs w:val="20"/>
              </w:rPr>
            </w:pPr>
            <w:r>
              <w:rPr>
                <w:sz w:val="20"/>
              </w:rPr>
              <w:t>89. Soutien et supervision; inspection matérielle</w:t>
            </w:r>
          </w:p>
          <w:p w:rsidR="00B248CA" w:rsidRDefault="00B248CA" w:rsidP="00715E70">
            <w:pPr>
              <w:pStyle w:val="TableParagraph"/>
              <w:spacing w:before="48" w:after="60"/>
              <w:ind w:left="35"/>
              <w:rPr>
                <w:rFonts w:cs="Calibri"/>
                <w:sz w:val="20"/>
                <w:szCs w:val="20"/>
              </w:rPr>
            </w:pPr>
          </w:p>
          <w:p w:rsidR="00B248CA" w:rsidRDefault="00B248CA" w:rsidP="00715E70">
            <w:pPr>
              <w:pStyle w:val="TableParagraph"/>
              <w:spacing w:before="48" w:after="60"/>
              <w:ind w:left="35"/>
              <w:rPr>
                <w:rFonts w:cs="Calibri"/>
                <w:sz w:val="20"/>
                <w:szCs w:val="20"/>
              </w:rPr>
            </w:pPr>
            <w:r>
              <w:rPr>
                <w:sz w:val="20"/>
              </w:rPr>
              <w:t xml:space="preserve">Au minimum, les organismes de service doivent soutenir les services et soutiens de relève pour fournisseurs de soins en déterminant à quel moment une présélection devrait comporter une inspection matérielle de la résidence du fournisseur de soins de relève. </w:t>
            </w:r>
          </w:p>
          <w:p w:rsidR="00B248CA" w:rsidRDefault="00B248CA" w:rsidP="00715E70">
            <w:pPr>
              <w:pStyle w:val="TableParagraph"/>
              <w:spacing w:line="200" w:lineRule="exact"/>
              <w:ind w:left="35" w:right="38"/>
              <w:rPr>
                <w:rFonts w:cs="Calibri"/>
                <w:sz w:val="20"/>
                <w:szCs w:val="20"/>
              </w:rPr>
            </w:pPr>
          </w:p>
          <w:p w:rsidR="00B248CA" w:rsidRDefault="00B248CA" w:rsidP="00715E70">
            <w:pPr>
              <w:pStyle w:val="TableParagraph"/>
              <w:spacing w:line="200" w:lineRule="exact"/>
              <w:ind w:left="35" w:right="38"/>
              <w:rPr>
                <w:rFonts w:cs="Calibri"/>
                <w:sz w:val="20"/>
                <w:szCs w:val="20"/>
              </w:rPr>
            </w:pPr>
            <w:r>
              <w:rPr>
                <w:sz w:val="20"/>
              </w:rPr>
              <w:t>Directives en matière de politique s’appliquant aux organismes de service en ce qui a trait au Programme de placement en famille hôte 3.1</w:t>
            </w:r>
          </w:p>
          <w:p w:rsidR="00B248CA" w:rsidRPr="0081122E" w:rsidRDefault="00B248CA" w:rsidP="00715E70">
            <w:pPr>
              <w:pStyle w:val="TableParagraph"/>
              <w:spacing w:line="200" w:lineRule="exact"/>
              <w:ind w:left="35" w:right="38"/>
              <w:rPr>
                <w:rFonts w:cs="Calibri"/>
                <w:sz w:val="20"/>
                <w:szCs w:val="20"/>
              </w:rPr>
            </w:pPr>
          </w:p>
        </w:tc>
        <w:tc>
          <w:tcPr>
            <w:tcW w:w="1085"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jc w:val="center"/>
              <w:rPr>
                <w:rFonts w:cs="Calibri"/>
                <w:sz w:val="20"/>
                <w:szCs w:val="20"/>
              </w:rPr>
            </w:pPr>
          </w:p>
          <w:p w:rsidR="00B248CA" w:rsidRPr="0081122E" w:rsidRDefault="00B248CA" w:rsidP="00715E70">
            <w:pPr>
              <w:jc w:val="center"/>
              <w:rPr>
                <w:rFonts w:cs="Calibri"/>
                <w:sz w:val="20"/>
                <w:szCs w:val="20"/>
              </w:rPr>
            </w:pPr>
            <w:r>
              <w:rPr>
                <w:sz w:val="20"/>
              </w:rPr>
              <w:t>MODÉRÉ</w:t>
            </w:r>
          </w:p>
        </w:tc>
        <w:tc>
          <w:tcPr>
            <w:tcW w:w="802" w:type="pct"/>
            <w:tcBorders>
              <w:top w:val="single" w:sz="4" w:space="0" w:color="000000"/>
              <w:left w:val="single" w:sz="4" w:space="0" w:color="000000"/>
              <w:bottom w:val="single" w:sz="4" w:space="0" w:color="000000"/>
              <w:right w:val="single" w:sz="4" w:space="0" w:color="000000"/>
            </w:tcBorders>
          </w:tcPr>
          <w:p w:rsidR="00B248CA" w:rsidRDefault="00B248CA" w:rsidP="00715E70">
            <w:pPr>
              <w:pStyle w:val="ListParagraph"/>
              <w:rPr>
                <w:rFonts w:cs="Calibri"/>
                <w:sz w:val="20"/>
                <w:szCs w:val="20"/>
              </w:rPr>
            </w:pPr>
          </w:p>
          <w:p w:rsidR="00B248CA" w:rsidRPr="0081122E" w:rsidRDefault="00B248CA" w:rsidP="00715E70">
            <w:pPr>
              <w:pStyle w:val="ListParagraph"/>
              <w:rPr>
                <w:rFonts w:cs="Calibri"/>
                <w:sz w:val="20"/>
                <w:szCs w:val="20"/>
              </w:rPr>
            </w:pPr>
            <w:r>
              <w:rPr>
                <w:sz w:val="20"/>
              </w:rPr>
              <w:t>Comptes rendus des rencontres, communications par courriel.</w:t>
            </w:r>
          </w:p>
        </w:tc>
        <w:tc>
          <w:tcPr>
            <w:tcW w:w="838"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Aucune preuve ne permet de confirmer que l’organisme de service a soutenu les services et soutiens de relève pour fournisseurs de soins en déterminant à quel moment une présélection devrait comporter une inspection matérielle de la résidence du fournisseur de soins de relève.</w:t>
            </w:r>
          </w:p>
        </w:tc>
        <w:tc>
          <w:tcPr>
            <w:tcW w:w="665"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rPr>
                <w:rFonts w:cs="Calibri"/>
                <w:sz w:val="20"/>
                <w:szCs w:val="20"/>
              </w:rPr>
            </w:pPr>
            <w:r>
              <w:rPr>
                <w:sz w:val="20"/>
              </w:rPr>
              <w:t>Une lettre ou un document confirmant que la mesure corrective a été menée à bien.</w:t>
            </w:r>
          </w:p>
        </w:tc>
      </w:tr>
      <w:tr w:rsidR="00B248CA" w:rsidRPr="0081122E" w:rsidTr="00715E70">
        <w:trPr>
          <w:trHeight w:hRule="exact" w:val="5964"/>
        </w:trPr>
        <w:tc>
          <w:tcPr>
            <w:tcW w:w="1156"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pStyle w:val="TableParagraph"/>
              <w:spacing w:line="200" w:lineRule="exact"/>
              <w:ind w:left="35" w:right="38"/>
              <w:rPr>
                <w:rFonts w:cs="Calibri"/>
                <w:sz w:val="20"/>
                <w:szCs w:val="20"/>
              </w:rPr>
            </w:pPr>
          </w:p>
          <w:p w:rsidR="00B248CA" w:rsidRDefault="00B248CA" w:rsidP="00715E70">
            <w:pPr>
              <w:pStyle w:val="TableParagraph"/>
              <w:spacing w:before="48" w:after="60"/>
              <w:ind w:left="35"/>
              <w:rPr>
                <w:rFonts w:cs="Calibri"/>
                <w:sz w:val="20"/>
                <w:szCs w:val="20"/>
              </w:rPr>
            </w:pPr>
            <w:r>
              <w:rPr>
                <w:sz w:val="20"/>
              </w:rPr>
              <w:t xml:space="preserve">90. Soutien et supervision; lancement d’une présélection </w:t>
            </w:r>
          </w:p>
          <w:p w:rsidR="00B248CA" w:rsidRDefault="00B248CA" w:rsidP="00715E70">
            <w:pPr>
              <w:pStyle w:val="TableParagraph"/>
              <w:spacing w:before="48" w:after="60"/>
              <w:ind w:left="35"/>
              <w:rPr>
                <w:rFonts w:cs="Calibri"/>
                <w:sz w:val="20"/>
                <w:szCs w:val="20"/>
              </w:rPr>
            </w:pPr>
          </w:p>
          <w:p w:rsidR="00B248CA" w:rsidRDefault="00B248CA" w:rsidP="00715E70">
            <w:pPr>
              <w:pStyle w:val="TableParagraph"/>
              <w:spacing w:line="200" w:lineRule="exact"/>
              <w:ind w:left="35" w:right="38"/>
              <w:rPr>
                <w:rFonts w:cs="Calibri"/>
                <w:sz w:val="20"/>
                <w:szCs w:val="20"/>
              </w:rPr>
            </w:pPr>
            <w:r>
              <w:rPr>
                <w:sz w:val="20"/>
              </w:rPr>
              <w:t xml:space="preserve">Au minimum, les organismes de service doivent soutenir les services et soutiens de relève pour fournisseurs de soins en déterminant dans quels cas il convient de procéder à une présélection initiale du fournisseur de soins de relève (p. ex. services de relève de nuit, services de relève rémunérés ou fréquence à laquelle les services de relève sont fournis). </w:t>
            </w:r>
          </w:p>
          <w:p w:rsidR="00B248CA" w:rsidRDefault="00B248CA" w:rsidP="00715E70">
            <w:pPr>
              <w:pStyle w:val="TableParagraph"/>
              <w:spacing w:line="200" w:lineRule="exact"/>
              <w:ind w:left="35" w:right="38"/>
              <w:rPr>
                <w:rFonts w:cs="Calibri"/>
                <w:sz w:val="20"/>
                <w:szCs w:val="20"/>
              </w:rPr>
            </w:pPr>
          </w:p>
          <w:p w:rsidR="00B248CA" w:rsidRDefault="00B248CA" w:rsidP="00715E70">
            <w:pPr>
              <w:pStyle w:val="TableParagraph"/>
              <w:spacing w:line="200" w:lineRule="exact"/>
              <w:ind w:left="35" w:right="38"/>
              <w:rPr>
                <w:rFonts w:cs="Calibri"/>
                <w:sz w:val="20"/>
                <w:szCs w:val="20"/>
              </w:rPr>
            </w:pPr>
            <w:r>
              <w:rPr>
                <w:sz w:val="20"/>
              </w:rPr>
              <w:t>Directives en matière de politique s’appliquant aux organismes de service en ce qui a trait au Programme de placement en famille hôte 3.1</w:t>
            </w:r>
          </w:p>
          <w:p w:rsidR="00B248CA" w:rsidRDefault="00B248CA" w:rsidP="00715E70">
            <w:pPr>
              <w:pStyle w:val="TableParagraph"/>
              <w:spacing w:before="48"/>
              <w:ind w:left="35"/>
              <w:rPr>
                <w:rFonts w:cs="Calibri"/>
                <w:sz w:val="20"/>
                <w:szCs w:val="20"/>
              </w:rPr>
            </w:pPr>
          </w:p>
          <w:p w:rsidR="00B248CA" w:rsidRPr="0081122E" w:rsidRDefault="00B248CA" w:rsidP="00715E70">
            <w:pPr>
              <w:pStyle w:val="TableParagraph"/>
              <w:spacing w:line="200" w:lineRule="exact"/>
              <w:ind w:left="35" w:right="38"/>
              <w:rPr>
                <w:rFonts w:cs="Calibri"/>
                <w:sz w:val="20"/>
                <w:szCs w:val="20"/>
              </w:rPr>
            </w:pPr>
          </w:p>
        </w:tc>
        <w:tc>
          <w:tcPr>
            <w:tcW w:w="1085"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jc w:val="center"/>
              <w:rPr>
                <w:rFonts w:cs="Calibri"/>
                <w:sz w:val="20"/>
                <w:szCs w:val="20"/>
              </w:rPr>
            </w:pPr>
          </w:p>
          <w:p w:rsidR="00B248CA" w:rsidRPr="0081122E" w:rsidRDefault="00B248CA" w:rsidP="00715E70">
            <w:pPr>
              <w:jc w:val="center"/>
              <w:rPr>
                <w:rFonts w:cs="Calibri"/>
                <w:sz w:val="20"/>
                <w:szCs w:val="20"/>
              </w:rPr>
            </w:pPr>
            <w:r>
              <w:rPr>
                <w:sz w:val="20"/>
              </w:rPr>
              <w:t>MODÉRÉ</w:t>
            </w:r>
          </w:p>
        </w:tc>
        <w:tc>
          <w:tcPr>
            <w:tcW w:w="802" w:type="pct"/>
            <w:tcBorders>
              <w:top w:val="single" w:sz="4" w:space="0" w:color="000000"/>
              <w:left w:val="single" w:sz="4" w:space="0" w:color="000000"/>
              <w:bottom w:val="single" w:sz="4" w:space="0" w:color="000000"/>
              <w:right w:val="single" w:sz="4" w:space="0" w:color="000000"/>
            </w:tcBorders>
          </w:tcPr>
          <w:p w:rsidR="00B248CA" w:rsidRDefault="00B248CA" w:rsidP="00715E70">
            <w:pPr>
              <w:pStyle w:val="ListParagraph"/>
              <w:rPr>
                <w:rFonts w:cs="Calibri"/>
                <w:sz w:val="20"/>
                <w:szCs w:val="20"/>
              </w:rPr>
            </w:pPr>
          </w:p>
          <w:p w:rsidR="00B248CA" w:rsidRDefault="00B248CA" w:rsidP="00715E70">
            <w:pPr>
              <w:pStyle w:val="ListParagraph"/>
              <w:rPr>
                <w:rFonts w:cs="Calibri"/>
                <w:sz w:val="20"/>
                <w:szCs w:val="20"/>
              </w:rPr>
            </w:pPr>
            <w:r>
              <w:rPr>
                <w:sz w:val="20"/>
              </w:rPr>
              <w:t>Comptes rendus des rencontres, communications par courriel.</w:t>
            </w:r>
          </w:p>
          <w:p w:rsidR="00B248CA" w:rsidRPr="0081122E" w:rsidRDefault="00B248CA" w:rsidP="00715E70">
            <w:pPr>
              <w:pStyle w:val="ListParagraph"/>
              <w:rPr>
                <w:rFonts w:cs="Calibri"/>
                <w:sz w:val="20"/>
                <w:szCs w:val="20"/>
              </w:rPr>
            </w:pPr>
          </w:p>
        </w:tc>
        <w:tc>
          <w:tcPr>
            <w:tcW w:w="838"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 xml:space="preserve">Aucune preuve ne permet de confirmer que l’organisme de service a soutenu les services et soutiens de relève pour fournisseurs de soins en déterminant dans quels cas il convient de procéder à une présélection initiale du fournisseur de soins de relève (p. ex. services de relève de nuit, services de relève rémunérés ou fréquence à laquelle les services de relève sont fournis). </w:t>
            </w:r>
          </w:p>
        </w:tc>
        <w:tc>
          <w:tcPr>
            <w:tcW w:w="665"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Une lettre ou un document confirmant que la mesure corrective a été menée à bien.</w:t>
            </w:r>
          </w:p>
          <w:p w:rsidR="00B248CA" w:rsidRPr="0081122E" w:rsidRDefault="00B248CA" w:rsidP="00715E70">
            <w:pPr>
              <w:rPr>
                <w:rFonts w:cs="Calibri"/>
                <w:sz w:val="20"/>
                <w:szCs w:val="20"/>
              </w:rPr>
            </w:pPr>
          </w:p>
        </w:tc>
      </w:tr>
    </w:tbl>
    <w:p w:rsidR="00B248CA" w:rsidRPr="0081122E" w:rsidRDefault="00B248CA" w:rsidP="00B248CA">
      <w:pPr>
        <w:rPr>
          <w:rFonts w:cs="Calibri"/>
          <w:sz w:val="20"/>
          <w:szCs w:val="20"/>
        </w:rPr>
        <w:sectPr w:rsidR="00B248CA" w:rsidRPr="0081122E" w:rsidSect="0049355F">
          <w:pgSz w:w="15840" w:h="12240" w:orient="landscape" w:code="1"/>
          <w:pgMar w:top="2200" w:right="480" w:bottom="420" w:left="500" w:header="600" w:footer="230" w:gutter="0"/>
          <w:cols w:space="720"/>
          <w:docGrid w:linePitch="299"/>
        </w:sectPr>
      </w:pPr>
    </w:p>
    <w:p w:rsidR="00B248CA" w:rsidRPr="0081122E" w:rsidRDefault="00B248CA" w:rsidP="00B248CA">
      <w:pPr>
        <w:spacing w:line="110" w:lineRule="exact"/>
        <w:rPr>
          <w:rFonts w:cs="Calibri"/>
          <w:sz w:val="20"/>
          <w:szCs w:val="20"/>
        </w:rPr>
      </w:pPr>
    </w:p>
    <w:p w:rsidR="00B248CA" w:rsidRPr="0081122E" w:rsidRDefault="00B248CA" w:rsidP="00B248CA">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425"/>
        <w:gridCol w:w="3239"/>
        <w:gridCol w:w="1350"/>
        <w:gridCol w:w="2430"/>
        <w:gridCol w:w="2430"/>
        <w:gridCol w:w="1996"/>
      </w:tblGrid>
      <w:tr w:rsidR="00B248CA" w:rsidRPr="0081122E" w:rsidTr="00715E70">
        <w:trPr>
          <w:trHeight w:val="960"/>
          <w:tblHeader/>
        </w:trPr>
        <w:tc>
          <w:tcPr>
            <w:tcW w:w="1152"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spacing w:before="8" w:line="180" w:lineRule="exact"/>
              <w:rPr>
                <w:rFonts w:cs="Calibri"/>
              </w:rPr>
            </w:pPr>
          </w:p>
          <w:p w:rsidR="00B248CA" w:rsidRPr="00F71B89" w:rsidRDefault="00B248CA" w:rsidP="00715E70">
            <w:pPr>
              <w:pStyle w:val="TableParagraph"/>
              <w:jc w:val="center"/>
              <w:rPr>
                <w:rFonts w:cs="Calibri"/>
                <w:b/>
              </w:rPr>
            </w:pPr>
          </w:p>
          <w:p w:rsidR="00B248CA" w:rsidRPr="00F71B89" w:rsidRDefault="00B248CA" w:rsidP="00715E70">
            <w:pPr>
              <w:pStyle w:val="TableParagraph"/>
              <w:jc w:val="center"/>
              <w:rPr>
                <w:rFonts w:cs="Calibri"/>
                <w:b/>
              </w:rPr>
            </w:pPr>
            <w:r>
              <w:rPr>
                <w:b/>
              </w:rPr>
              <w:t>Dossiers et documents</w:t>
            </w:r>
          </w:p>
          <w:p w:rsidR="00B248CA" w:rsidRPr="00F71B89" w:rsidRDefault="00B248CA" w:rsidP="00715E70">
            <w:pPr>
              <w:pStyle w:val="TableParagraph"/>
              <w:jc w:val="center"/>
              <w:rPr>
                <w:rFonts w:cs="Calibri"/>
              </w:rPr>
            </w:pPr>
          </w:p>
        </w:tc>
        <w:tc>
          <w:tcPr>
            <w:tcW w:w="1089"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jc w:val="center"/>
              <w:rPr>
                <w:rFonts w:cs="Calibri"/>
                <w:b/>
              </w:rPr>
            </w:pPr>
          </w:p>
          <w:p w:rsidR="00B248CA" w:rsidRPr="00F71B89" w:rsidRDefault="00B248CA" w:rsidP="00715E70">
            <w:pPr>
              <w:pStyle w:val="TableParagraph"/>
              <w:jc w:val="center"/>
              <w:rPr>
                <w:rFonts w:cs="Calibri"/>
                <w:b/>
              </w:rPr>
            </w:pPr>
            <w:r>
              <w:rPr>
                <w:b/>
              </w:rPr>
              <w:t>But</w:t>
            </w:r>
          </w:p>
        </w:tc>
        <w:tc>
          <w:tcPr>
            <w:tcW w:w="454"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jc w:val="center"/>
              <w:rPr>
                <w:rFonts w:cs="Calibri"/>
                <w:b/>
              </w:rPr>
            </w:pPr>
          </w:p>
          <w:p w:rsidR="00B248CA" w:rsidRPr="00F71B89" w:rsidRDefault="00B248CA" w:rsidP="00715E70">
            <w:pPr>
              <w:jc w:val="center"/>
              <w:rPr>
                <w:rFonts w:cs="Calibri"/>
              </w:rPr>
            </w:pPr>
            <w:r>
              <w:rPr>
                <w:b/>
              </w:rPr>
              <w:t>Risque</w:t>
            </w:r>
          </w:p>
        </w:tc>
        <w:tc>
          <w:tcPr>
            <w:tcW w:w="817"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spacing w:line="200" w:lineRule="exact"/>
              <w:jc w:val="center"/>
              <w:rPr>
                <w:rFonts w:cs="Calibri"/>
              </w:rPr>
            </w:pPr>
          </w:p>
          <w:p w:rsidR="00B248CA" w:rsidRPr="00F71B89" w:rsidRDefault="00B248CA" w:rsidP="00715E70">
            <w:pPr>
              <w:spacing w:line="200" w:lineRule="exact"/>
              <w:jc w:val="center"/>
              <w:rPr>
                <w:rFonts w:cs="Calibri"/>
                <w:b/>
              </w:rPr>
            </w:pPr>
          </w:p>
          <w:p w:rsidR="00B248CA" w:rsidRPr="00F71B89" w:rsidRDefault="00B248CA" w:rsidP="00715E70">
            <w:pPr>
              <w:spacing w:line="200" w:lineRule="exact"/>
              <w:jc w:val="center"/>
              <w:rPr>
                <w:rFonts w:cs="Calibri"/>
              </w:rPr>
            </w:pPr>
            <w:r>
              <w:rPr>
                <w:b/>
              </w:rPr>
              <w:t>Indicateur</w:t>
            </w:r>
          </w:p>
          <w:p w:rsidR="00B248CA" w:rsidRPr="00F71B89" w:rsidRDefault="00B248CA" w:rsidP="00715E70">
            <w:pPr>
              <w:rPr>
                <w:rFonts w:cs="Calibri"/>
              </w:rPr>
            </w:pPr>
          </w:p>
        </w:tc>
        <w:tc>
          <w:tcPr>
            <w:tcW w:w="817"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jc w:val="center"/>
              <w:rPr>
                <w:rFonts w:cs="Calibri"/>
                <w:b/>
              </w:rPr>
            </w:pPr>
          </w:p>
          <w:p w:rsidR="00B248CA" w:rsidRPr="00F71B89" w:rsidRDefault="00B248CA" w:rsidP="00715E70">
            <w:pPr>
              <w:jc w:val="center"/>
              <w:rPr>
                <w:rFonts w:cs="Calibri"/>
                <w:b/>
              </w:rPr>
            </w:pPr>
            <w:r>
              <w:rPr>
                <w:b/>
              </w:rPr>
              <w:t>Non-conformité constatée</w:t>
            </w:r>
          </w:p>
        </w:tc>
        <w:tc>
          <w:tcPr>
            <w:tcW w:w="671"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jc w:val="center"/>
              <w:rPr>
                <w:rFonts w:cs="Calibri"/>
                <w:b/>
              </w:rPr>
            </w:pPr>
          </w:p>
          <w:p w:rsidR="00B248CA" w:rsidRPr="00F71B89" w:rsidRDefault="00B248CA" w:rsidP="00715E70">
            <w:pPr>
              <w:jc w:val="center"/>
              <w:rPr>
                <w:rFonts w:cs="Calibri"/>
              </w:rPr>
            </w:pPr>
            <w:r>
              <w:rPr>
                <w:b/>
              </w:rPr>
              <w:t>Exigence de conformité</w:t>
            </w:r>
          </w:p>
        </w:tc>
      </w:tr>
      <w:tr w:rsidR="00B248CA" w:rsidRPr="0081122E" w:rsidTr="00715E70">
        <w:trPr>
          <w:trHeight w:hRule="exact" w:val="6108"/>
        </w:trPr>
        <w:tc>
          <w:tcPr>
            <w:tcW w:w="1152"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pStyle w:val="TableParagraph"/>
              <w:spacing w:before="48" w:after="60"/>
              <w:ind w:left="35"/>
              <w:rPr>
                <w:rFonts w:cs="Calibri"/>
                <w:sz w:val="20"/>
                <w:szCs w:val="20"/>
              </w:rPr>
            </w:pPr>
          </w:p>
          <w:p w:rsidR="00B248CA" w:rsidRPr="0081122E" w:rsidRDefault="00B248CA" w:rsidP="00715E70">
            <w:pPr>
              <w:pStyle w:val="TableParagraph"/>
              <w:spacing w:before="48" w:after="60"/>
              <w:ind w:left="35"/>
              <w:rPr>
                <w:rFonts w:cs="Calibri"/>
                <w:sz w:val="20"/>
                <w:szCs w:val="20"/>
              </w:rPr>
            </w:pPr>
            <w:r>
              <w:rPr>
                <w:sz w:val="20"/>
              </w:rPr>
              <w:t>91. Soutien et supervision; facilitation de la communication</w:t>
            </w:r>
          </w:p>
          <w:p w:rsidR="00B248CA" w:rsidRPr="0081122E" w:rsidRDefault="00B248CA" w:rsidP="00715E70">
            <w:pPr>
              <w:pStyle w:val="TableParagraph"/>
              <w:spacing w:before="7" w:line="190" w:lineRule="exact"/>
              <w:rPr>
                <w:rFonts w:cs="Calibri"/>
                <w:sz w:val="20"/>
                <w:szCs w:val="20"/>
              </w:rPr>
            </w:pPr>
          </w:p>
          <w:p w:rsidR="00B248CA" w:rsidRDefault="00B248CA" w:rsidP="00715E70">
            <w:pPr>
              <w:pStyle w:val="TableParagraph"/>
              <w:spacing w:line="200" w:lineRule="exact"/>
              <w:ind w:left="35" w:right="38"/>
              <w:rPr>
                <w:rFonts w:cs="Calibri"/>
                <w:sz w:val="20"/>
                <w:szCs w:val="20"/>
              </w:rPr>
            </w:pPr>
            <w:r>
              <w:rPr>
                <w:sz w:val="20"/>
              </w:rPr>
              <w:t xml:space="preserve">Au minimum, les organismes de service doivent faciliter la communication entre la personne placée, sa famille/son tuteur et la famille hôte, le cas échéant. </w:t>
            </w:r>
          </w:p>
          <w:p w:rsidR="00B248CA" w:rsidRDefault="00B248CA" w:rsidP="00715E70">
            <w:pPr>
              <w:pStyle w:val="TableParagraph"/>
              <w:spacing w:line="200" w:lineRule="exact"/>
              <w:ind w:left="35" w:right="38"/>
              <w:rPr>
                <w:rFonts w:cs="Calibri"/>
                <w:sz w:val="20"/>
                <w:szCs w:val="20"/>
              </w:rPr>
            </w:pPr>
          </w:p>
          <w:p w:rsidR="00B248CA" w:rsidRPr="0081122E" w:rsidRDefault="00B248CA" w:rsidP="00715E70">
            <w:pPr>
              <w:pStyle w:val="TableParagraph"/>
              <w:spacing w:line="200" w:lineRule="exact"/>
              <w:ind w:left="35" w:right="38"/>
              <w:rPr>
                <w:rFonts w:cs="Calibri"/>
                <w:sz w:val="20"/>
                <w:szCs w:val="20"/>
              </w:rPr>
            </w:pPr>
            <w:r>
              <w:rPr>
                <w:sz w:val="20"/>
              </w:rPr>
              <w:t>Directives en matière de politique s’appliquant aux organismes de service en ce qui a trait au Programme de placement en famille hôte 3.1</w:t>
            </w:r>
          </w:p>
        </w:tc>
        <w:tc>
          <w:tcPr>
            <w:tcW w:w="1089"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rFonts w:asciiTheme="minorHAnsi" w:hAnsiTheme="minorHAnsi" w:cstheme="minorHAnsi"/>
                <w:sz w:val="20"/>
              </w:rPr>
              <w:t>Les activités de soutien et de supervision continues réalisées par l’organisme auprès des personnes placées et des familles hôtes contribuent à établir et à entretenir des relations durables. Elles permettent également de promouvoir et de garantir le bien-être de toutes les personnes participant au placement en famille hôte.</w:t>
            </w:r>
          </w:p>
          <w:p w:rsidR="00B248CA" w:rsidRDefault="00B248CA" w:rsidP="00715E70">
            <w:pPr>
              <w:rPr>
                <w:rFonts w:cs="Calibri"/>
                <w:sz w:val="20"/>
                <w:szCs w:val="20"/>
              </w:rPr>
            </w:pPr>
          </w:p>
          <w:p w:rsidR="00B248CA" w:rsidRDefault="00B248CA" w:rsidP="00715E70">
            <w:pPr>
              <w:rPr>
                <w:rFonts w:cs="Calibri"/>
                <w:sz w:val="20"/>
                <w:szCs w:val="20"/>
              </w:rPr>
            </w:pPr>
            <w:r>
              <w:rPr>
                <w:sz w:val="20"/>
              </w:rPr>
              <w:t>L’organisme de service doit faciliter la communication entre la personne placée, sa famille/son tuteur et la famille hôte, le cas échéant.</w:t>
            </w: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jc w:val="center"/>
              <w:rPr>
                <w:rFonts w:cs="Calibri"/>
                <w:sz w:val="20"/>
                <w:szCs w:val="20"/>
              </w:rPr>
            </w:pPr>
            <w:r>
              <w:rPr>
                <w:sz w:val="20"/>
              </w:rPr>
              <w:t>MODÉRÉ</w:t>
            </w:r>
          </w:p>
        </w:tc>
        <w:tc>
          <w:tcPr>
            <w:tcW w:w="817" w:type="pct"/>
            <w:tcBorders>
              <w:top w:val="single" w:sz="4" w:space="0" w:color="000000"/>
              <w:left w:val="single" w:sz="4" w:space="0" w:color="000000"/>
              <w:bottom w:val="single" w:sz="4" w:space="0" w:color="000000"/>
              <w:right w:val="single" w:sz="4" w:space="0" w:color="000000"/>
            </w:tcBorders>
          </w:tcPr>
          <w:p w:rsidR="00B248CA" w:rsidRDefault="00B248CA" w:rsidP="00715E70">
            <w:pPr>
              <w:pStyle w:val="ListParagraph"/>
              <w:rPr>
                <w:rFonts w:cs="Calibri"/>
                <w:sz w:val="20"/>
                <w:szCs w:val="20"/>
              </w:rPr>
            </w:pPr>
          </w:p>
          <w:p w:rsidR="00B248CA" w:rsidRPr="0081122E" w:rsidRDefault="00B248CA" w:rsidP="00715E70">
            <w:pPr>
              <w:pStyle w:val="ListParagraph"/>
              <w:rPr>
                <w:rFonts w:cs="Calibri"/>
                <w:sz w:val="20"/>
                <w:szCs w:val="20"/>
              </w:rPr>
            </w:pPr>
            <w:r>
              <w:rPr>
                <w:sz w:val="20"/>
              </w:rPr>
              <w:t>Notes de cas, courriels.</w:t>
            </w:r>
          </w:p>
        </w:tc>
        <w:tc>
          <w:tcPr>
            <w:tcW w:w="817"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Aucune preuve ne permet de confirmer que l’organisme de service a facilité la communication entre la personne placée, sa famille/son tuteur et la famille hôte, selon ce qui convient à la personne ou à sa famille.</w:t>
            </w:r>
          </w:p>
        </w:tc>
        <w:tc>
          <w:tcPr>
            <w:tcW w:w="671"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Une lettre ou un document confirmant que la mesure corrective a été menée à bien.</w:t>
            </w:r>
          </w:p>
          <w:p w:rsidR="00B248CA" w:rsidRPr="0081122E" w:rsidRDefault="00B248CA" w:rsidP="00715E70">
            <w:pPr>
              <w:rPr>
                <w:rFonts w:cs="Calibri"/>
                <w:sz w:val="20"/>
                <w:szCs w:val="20"/>
              </w:rPr>
            </w:pPr>
          </w:p>
        </w:tc>
      </w:tr>
      <w:tr w:rsidR="00B248CA" w:rsidRPr="0081122E" w:rsidTr="00715E70">
        <w:trPr>
          <w:trHeight w:hRule="exact" w:val="6504"/>
        </w:trPr>
        <w:tc>
          <w:tcPr>
            <w:tcW w:w="1152"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pStyle w:val="TableParagraph"/>
              <w:spacing w:before="48"/>
              <w:ind w:left="35"/>
              <w:rPr>
                <w:rFonts w:cs="Calibri"/>
                <w:sz w:val="20"/>
                <w:szCs w:val="20"/>
              </w:rPr>
            </w:pPr>
          </w:p>
          <w:p w:rsidR="00B248CA" w:rsidRPr="0081122E" w:rsidRDefault="00B248CA" w:rsidP="00715E70">
            <w:pPr>
              <w:pStyle w:val="TableParagraph"/>
              <w:spacing w:before="48"/>
              <w:ind w:left="35"/>
              <w:rPr>
                <w:rFonts w:cs="Calibri"/>
                <w:sz w:val="20"/>
                <w:szCs w:val="20"/>
              </w:rPr>
            </w:pPr>
            <w:r>
              <w:rPr>
                <w:sz w:val="20"/>
              </w:rPr>
              <w:t>92. Soutien et supervision; changement de situation</w:t>
            </w:r>
          </w:p>
          <w:p w:rsidR="00B248CA" w:rsidRPr="0081122E" w:rsidRDefault="00B248CA" w:rsidP="00715E70">
            <w:pPr>
              <w:pStyle w:val="TableParagraph"/>
              <w:spacing w:before="7" w:line="190" w:lineRule="exact"/>
              <w:rPr>
                <w:rFonts w:cs="Calibri"/>
                <w:sz w:val="20"/>
                <w:szCs w:val="20"/>
              </w:rPr>
            </w:pPr>
          </w:p>
          <w:p w:rsidR="00B248CA" w:rsidRDefault="00B248CA" w:rsidP="00715E70">
            <w:pPr>
              <w:pStyle w:val="TableParagraph"/>
              <w:spacing w:line="200" w:lineRule="exact"/>
              <w:ind w:left="35" w:right="38"/>
              <w:rPr>
                <w:rFonts w:cs="Calibri"/>
                <w:sz w:val="20"/>
                <w:szCs w:val="20"/>
              </w:rPr>
            </w:pPr>
            <w:r>
              <w:rPr>
                <w:sz w:val="20"/>
              </w:rPr>
              <w:t xml:space="preserve">Au minimum, les organismes de service doivent collaborer avec la famille hôte et la personne placée si, en raison d’un changement de situation, la famille hôte ne peut plus continuer de remplir son rôle de fournisseur de soins. </w:t>
            </w:r>
          </w:p>
          <w:p w:rsidR="00B248CA" w:rsidRDefault="00B248CA" w:rsidP="00715E70">
            <w:pPr>
              <w:pStyle w:val="TableParagraph"/>
              <w:spacing w:line="200" w:lineRule="exact"/>
              <w:ind w:left="35" w:right="38"/>
              <w:rPr>
                <w:rFonts w:cs="Calibri"/>
                <w:sz w:val="20"/>
                <w:szCs w:val="20"/>
              </w:rPr>
            </w:pPr>
          </w:p>
          <w:p w:rsidR="00B248CA" w:rsidRPr="0081122E" w:rsidRDefault="00B248CA" w:rsidP="00715E70">
            <w:pPr>
              <w:pStyle w:val="TableParagraph"/>
              <w:spacing w:line="200" w:lineRule="exact"/>
              <w:ind w:left="35" w:right="38"/>
              <w:rPr>
                <w:rFonts w:cs="Calibri"/>
                <w:sz w:val="20"/>
                <w:szCs w:val="20"/>
              </w:rPr>
            </w:pPr>
            <w:r>
              <w:rPr>
                <w:sz w:val="20"/>
              </w:rPr>
              <w:t>Directives en matière de politique s’appliquant aux organismes de service en ce qui a trait au Programme de placement en famille hôte 3.1</w:t>
            </w:r>
          </w:p>
        </w:tc>
        <w:tc>
          <w:tcPr>
            <w:tcW w:w="1089"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rFonts w:asciiTheme="minorHAnsi" w:hAnsiTheme="minorHAnsi" w:cstheme="minorHAnsi"/>
                <w:sz w:val="20"/>
              </w:rPr>
              <w:t>Les activités de soutien et de supervision continues réalisées par l’organisme auprès des personnes placées et des familles hôtes contribuent à établir et à entretenir des relations durables. Elles permettent également de promouvoir et de garantir le bien-être de toutes les personnes participant au placement en famille hôte.</w:t>
            </w:r>
          </w:p>
          <w:p w:rsidR="00B248CA" w:rsidRDefault="00B248CA" w:rsidP="00715E70">
            <w:pPr>
              <w:rPr>
                <w:rFonts w:cs="Calibri"/>
                <w:sz w:val="20"/>
                <w:szCs w:val="20"/>
              </w:rPr>
            </w:pPr>
          </w:p>
          <w:p w:rsidR="00B248CA" w:rsidRDefault="00B248CA" w:rsidP="00715E70">
            <w:pPr>
              <w:rPr>
                <w:rFonts w:cs="Calibri"/>
                <w:sz w:val="20"/>
                <w:szCs w:val="20"/>
              </w:rPr>
            </w:pPr>
            <w:r>
              <w:rPr>
                <w:sz w:val="20"/>
              </w:rPr>
              <w:t>L’organisme de service doit collaborer avec la famille hôte et la personne placée si, en raison d’un changement de situation, la famille hôte ne peut plus continuer de remplir son rôle de fournisseur de soins.</w:t>
            </w: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jc w:val="center"/>
              <w:rPr>
                <w:rFonts w:cs="Calibri"/>
                <w:sz w:val="20"/>
                <w:szCs w:val="20"/>
              </w:rPr>
            </w:pPr>
            <w:r>
              <w:rPr>
                <w:sz w:val="20"/>
              </w:rPr>
              <w:t>ÉLEVÉ</w:t>
            </w:r>
          </w:p>
        </w:tc>
        <w:tc>
          <w:tcPr>
            <w:tcW w:w="817" w:type="pct"/>
            <w:tcBorders>
              <w:top w:val="single" w:sz="4" w:space="0" w:color="000000"/>
              <w:left w:val="single" w:sz="4" w:space="0" w:color="000000"/>
              <w:bottom w:val="single" w:sz="4" w:space="0" w:color="000000"/>
              <w:right w:val="single" w:sz="4" w:space="0" w:color="000000"/>
            </w:tcBorders>
          </w:tcPr>
          <w:p w:rsidR="00B248CA" w:rsidRDefault="00B248CA" w:rsidP="00715E70">
            <w:pPr>
              <w:pStyle w:val="ListParagraph"/>
              <w:rPr>
                <w:rFonts w:cs="Calibri"/>
                <w:sz w:val="20"/>
                <w:szCs w:val="20"/>
              </w:rPr>
            </w:pPr>
          </w:p>
          <w:p w:rsidR="00B248CA" w:rsidRPr="0081122E" w:rsidRDefault="00B248CA" w:rsidP="00715E70">
            <w:pPr>
              <w:pStyle w:val="ListParagraph"/>
              <w:rPr>
                <w:rFonts w:cs="Calibri"/>
                <w:sz w:val="20"/>
                <w:szCs w:val="20"/>
              </w:rPr>
            </w:pPr>
            <w:r>
              <w:rPr>
                <w:sz w:val="20"/>
              </w:rPr>
              <w:t>Marche à suivre en cas d’urgence; résiliation de la convention de service avec la famille hôte.</w:t>
            </w:r>
          </w:p>
        </w:tc>
        <w:tc>
          <w:tcPr>
            <w:tcW w:w="817"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Dans les cas où, en raison d’un changement de situation, la famille hôte ne peut plus continuer de remplir son rôle de fournisseur de soins, aucune preuve ne permet de confirmer que l’organisme de service a collaboré avec la famille hôte et la personne placée pour régler la situation.</w:t>
            </w:r>
          </w:p>
        </w:tc>
        <w:tc>
          <w:tcPr>
            <w:tcW w:w="671"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rPr>
                <w:rFonts w:cs="Calibri"/>
                <w:sz w:val="20"/>
                <w:szCs w:val="20"/>
              </w:rPr>
            </w:pPr>
            <w:r>
              <w:rPr>
                <w:sz w:val="20"/>
              </w:rPr>
              <w:t>Il est nécessaire, dans les 24 heures qui suivent la réception de la lettre de non-conformité, de fournir une réponse et/ou de justifier les actions réalisées en décrivant les mesures correctives et les délais de résolution du problème. Il convient d’envoyer, dans les 10 jours ouvrables, une lettre ou un document confirmant que la mesure corrective a été menée à bien.</w:t>
            </w:r>
          </w:p>
        </w:tc>
      </w:tr>
      <w:tr w:rsidR="00B248CA" w:rsidRPr="0081122E" w:rsidTr="00715E70">
        <w:trPr>
          <w:trHeight w:hRule="exact" w:val="5604"/>
        </w:trPr>
        <w:tc>
          <w:tcPr>
            <w:tcW w:w="1152"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pStyle w:val="TableParagraph"/>
              <w:spacing w:before="48"/>
              <w:ind w:left="35"/>
              <w:rPr>
                <w:rFonts w:cs="Calibri"/>
                <w:sz w:val="20"/>
                <w:szCs w:val="20"/>
              </w:rPr>
            </w:pPr>
          </w:p>
          <w:p w:rsidR="00B248CA" w:rsidRPr="0081122E" w:rsidRDefault="00B248CA" w:rsidP="00715E70">
            <w:pPr>
              <w:pStyle w:val="TableParagraph"/>
              <w:spacing w:before="48"/>
              <w:ind w:left="35"/>
              <w:rPr>
                <w:rFonts w:cs="Calibri"/>
                <w:sz w:val="20"/>
                <w:szCs w:val="20"/>
              </w:rPr>
            </w:pPr>
            <w:r>
              <w:rPr>
                <w:sz w:val="20"/>
              </w:rPr>
              <w:t>93. Soutien et supervision; déménagement hors du territoire de desserte</w:t>
            </w:r>
          </w:p>
          <w:p w:rsidR="00B248CA" w:rsidRPr="0081122E" w:rsidRDefault="00B248CA" w:rsidP="00715E70">
            <w:pPr>
              <w:pStyle w:val="TableParagraph"/>
              <w:spacing w:before="7" w:line="190" w:lineRule="exact"/>
              <w:rPr>
                <w:rFonts w:cs="Calibri"/>
                <w:sz w:val="20"/>
                <w:szCs w:val="20"/>
              </w:rPr>
            </w:pPr>
          </w:p>
          <w:p w:rsidR="00B248CA" w:rsidRDefault="00B248CA" w:rsidP="00715E70">
            <w:pPr>
              <w:pStyle w:val="TableParagraph"/>
              <w:spacing w:line="200" w:lineRule="exact"/>
              <w:ind w:right="38"/>
              <w:rPr>
                <w:rFonts w:cs="Calibri"/>
                <w:sz w:val="20"/>
                <w:szCs w:val="20"/>
              </w:rPr>
            </w:pPr>
            <w:r>
              <w:rPr>
                <w:sz w:val="20"/>
              </w:rPr>
              <w:t xml:space="preserve"> Au minimum, les organismes de service doivent informer le ministère du cas de toute personne placée qui veut déménager avec sa famille hôte dans une autre collectivité se trouvant hors du territoire de desserte de l’organisme de service en Ontario. L’étude d’un tel transfert peut comprendre l’examen des choix exprimés, la disponibilité d’autres services communautaires, ainsi que la proximité de la famille naturelle de la personne placée. </w:t>
            </w:r>
          </w:p>
          <w:p w:rsidR="00B248CA" w:rsidRDefault="00B248CA" w:rsidP="00715E70">
            <w:pPr>
              <w:pStyle w:val="TableParagraph"/>
              <w:spacing w:line="200" w:lineRule="exact"/>
              <w:ind w:left="35" w:right="38"/>
              <w:rPr>
                <w:rFonts w:cs="Calibri"/>
                <w:sz w:val="20"/>
                <w:szCs w:val="20"/>
              </w:rPr>
            </w:pPr>
          </w:p>
          <w:p w:rsidR="00B248CA" w:rsidRPr="0081122E" w:rsidRDefault="00B248CA" w:rsidP="00715E70">
            <w:pPr>
              <w:pStyle w:val="TableParagraph"/>
              <w:spacing w:line="200" w:lineRule="exact"/>
              <w:ind w:left="35" w:right="38"/>
              <w:rPr>
                <w:rFonts w:cs="Calibri"/>
                <w:sz w:val="20"/>
                <w:szCs w:val="20"/>
              </w:rPr>
            </w:pPr>
            <w:r>
              <w:rPr>
                <w:sz w:val="20"/>
              </w:rPr>
              <w:t>Directives en matière de politique s’appliquant aux organismes de service en ce qui a trait au Programme de placement en famille hôte 3.1</w:t>
            </w:r>
          </w:p>
        </w:tc>
        <w:tc>
          <w:tcPr>
            <w:tcW w:w="1089"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rFonts w:asciiTheme="minorHAnsi" w:hAnsiTheme="minorHAnsi" w:cstheme="minorHAnsi"/>
                <w:sz w:val="20"/>
              </w:rPr>
              <w:t>Les activités de soutien et de supervision continues réalisées par l’organisme auprès des personnes placées et des familles hôtes contribuent à établir et à entretenir des relations durables. Elles permettent également de promouvoir et de garantir le bien-être de toutes les personnes participant au placement en famille hôte.</w:t>
            </w:r>
          </w:p>
          <w:p w:rsidR="00B248CA" w:rsidRDefault="00B248CA" w:rsidP="00715E70">
            <w:pPr>
              <w:widowControl/>
              <w:rPr>
                <w:rFonts w:cs="Calibri"/>
                <w:sz w:val="20"/>
                <w:szCs w:val="20"/>
              </w:rPr>
            </w:pPr>
          </w:p>
          <w:p w:rsidR="00B248CA" w:rsidRDefault="00B248CA" w:rsidP="00715E70">
            <w:pPr>
              <w:rPr>
                <w:rFonts w:cs="Calibri"/>
                <w:sz w:val="20"/>
                <w:szCs w:val="20"/>
              </w:rPr>
            </w:pPr>
            <w:r>
              <w:rPr>
                <w:sz w:val="20"/>
              </w:rPr>
              <w:t>Il est important que l’organisme examine et planifie les événements susceptibles d’influer sur le placement en famille hôte.</w:t>
            </w:r>
          </w:p>
          <w:p w:rsidR="00B248CA" w:rsidRDefault="00B248CA" w:rsidP="00715E70">
            <w:pPr>
              <w:rPr>
                <w:rFonts w:cs="Calibri"/>
                <w:sz w:val="20"/>
                <w:szCs w:val="20"/>
              </w:rPr>
            </w:pPr>
          </w:p>
          <w:p w:rsidR="00B248CA" w:rsidRDefault="00B248CA" w:rsidP="00715E70">
            <w:pPr>
              <w:rPr>
                <w:rFonts w:cs="Calibri"/>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r>
              <w:softHyphen/>
            </w:r>
          </w:p>
          <w:p w:rsidR="00B248CA" w:rsidRPr="0081122E" w:rsidRDefault="00B248CA" w:rsidP="00715E70">
            <w:pPr>
              <w:jc w:val="center"/>
              <w:rPr>
                <w:rFonts w:cs="Calibri"/>
                <w:sz w:val="20"/>
                <w:szCs w:val="20"/>
              </w:rPr>
            </w:pPr>
            <w:r>
              <w:rPr>
                <w:sz w:val="20"/>
              </w:rPr>
              <w:t>MODÉRÉ</w:t>
            </w:r>
          </w:p>
        </w:tc>
        <w:tc>
          <w:tcPr>
            <w:tcW w:w="817" w:type="pct"/>
            <w:tcBorders>
              <w:top w:val="single" w:sz="4" w:space="0" w:color="000000"/>
              <w:left w:val="single" w:sz="4" w:space="0" w:color="000000"/>
              <w:bottom w:val="single" w:sz="4" w:space="0" w:color="000000"/>
              <w:right w:val="single" w:sz="4" w:space="0" w:color="000000"/>
            </w:tcBorders>
          </w:tcPr>
          <w:p w:rsidR="00B248CA" w:rsidRDefault="00B248CA" w:rsidP="00715E70">
            <w:pPr>
              <w:pStyle w:val="ListParagraph"/>
              <w:rPr>
                <w:rFonts w:cs="Calibri"/>
                <w:sz w:val="20"/>
                <w:szCs w:val="20"/>
              </w:rPr>
            </w:pPr>
          </w:p>
          <w:p w:rsidR="00B248CA" w:rsidRPr="0081122E" w:rsidRDefault="00B248CA" w:rsidP="00715E70">
            <w:pPr>
              <w:pStyle w:val="ListParagraph"/>
              <w:rPr>
                <w:rFonts w:cs="Calibri"/>
                <w:sz w:val="20"/>
                <w:szCs w:val="20"/>
              </w:rPr>
            </w:pPr>
            <w:r>
              <w:rPr>
                <w:sz w:val="20"/>
              </w:rPr>
              <w:t>Communications par courriel, résiliation de la convention de service avec la famille hôte.</w:t>
            </w:r>
          </w:p>
        </w:tc>
        <w:tc>
          <w:tcPr>
            <w:tcW w:w="817"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Aucune preuve ne permet de confirmer que l’organisme de service a informé le ministère du cas de toute personne placée qui veut déménager avec sa famille hôte dans une autre collectivité se trouvant hors du territoire de desserte de l’organisme de service en Ontario.</w:t>
            </w:r>
          </w:p>
        </w:tc>
        <w:tc>
          <w:tcPr>
            <w:tcW w:w="671"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Une lettre ou un document confirmant que la mesure corrective a été menée à bien.</w:t>
            </w:r>
          </w:p>
          <w:p w:rsidR="00B248CA" w:rsidRPr="0081122E" w:rsidRDefault="00B248CA" w:rsidP="00715E70">
            <w:pPr>
              <w:rPr>
                <w:rFonts w:cs="Calibri"/>
                <w:sz w:val="20"/>
                <w:szCs w:val="20"/>
              </w:rPr>
            </w:pPr>
          </w:p>
        </w:tc>
      </w:tr>
    </w:tbl>
    <w:p w:rsidR="00B248CA" w:rsidRPr="0081122E" w:rsidRDefault="00B248CA" w:rsidP="00B248CA">
      <w:pPr>
        <w:rPr>
          <w:rFonts w:cs="Calibri"/>
          <w:sz w:val="20"/>
          <w:szCs w:val="20"/>
        </w:rPr>
        <w:sectPr w:rsidR="00B248CA" w:rsidRPr="0081122E" w:rsidSect="0049355F">
          <w:pgSz w:w="15840" w:h="12240" w:orient="landscape" w:code="1"/>
          <w:pgMar w:top="2200" w:right="480" w:bottom="420" w:left="500" w:header="600" w:footer="230" w:gutter="0"/>
          <w:cols w:space="720"/>
          <w:docGrid w:linePitch="299"/>
        </w:sectPr>
      </w:pPr>
    </w:p>
    <w:p w:rsidR="00B248CA" w:rsidRPr="0081122E" w:rsidRDefault="00B248CA" w:rsidP="00B248CA">
      <w:pPr>
        <w:spacing w:line="110" w:lineRule="exact"/>
        <w:rPr>
          <w:rFonts w:cs="Calibri"/>
          <w:sz w:val="20"/>
          <w:szCs w:val="20"/>
        </w:rPr>
      </w:pPr>
    </w:p>
    <w:p w:rsidR="00B248CA" w:rsidRPr="0081122E" w:rsidRDefault="00B248CA" w:rsidP="00B248CA">
      <w:pPr>
        <w:spacing w:line="200" w:lineRule="exact"/>
        <w:rPr>
          <w:rFonts w:cs="Calibri"/>
          <w:sz w:val="20"/>
          <w:szCs w:val="20"/>
        </w:rPr>
      </w:pPr>
    </w:p>
    <w:tbl>
      <w:tblPr>
        <w:tblW w:w="4995" w:type="pct"/>
        <w:tblCellMar>
          <w:left w:w="0" w:type="dxa"/>
          <w:right w:w="0" w:type="dxa"/>
        </w:tblCellMar>
        <w:tblLook w:val="01E0" w:firstRow="1" w:lastRow="1" w:firstColumn="1" w:lastColumn="1" w:noHBand="0" w:noVBand="0"/>
      </w:tblPr>
      <w:tblGrid>
        <w:gridCol w:w="3426"/>
        <w:gridCol w:w="3238"/>
        <w:gridCol w:w="1260"/>
        <w:gridCol w:w="2522"/>
        <w:gridCol w:w="2430"/>
        <w:gridCol w:w="1979"/>
      </w:tblGrid>
      <w:tr w:rsidR="00B248CA" w:rsidRPr="0081122E" w:rsidTr="00715E70">
        <w:trPr>
          <w:trHeight w:val="960"/>
          <w:tblHeader/>
        </w:trPr>
        <w:tc>
          <w:tcPr>
            <w:tcW w:w="1153"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spacing w:before="8" w:line="180" w:lineRule="exact"/>
              <w:rPr>
                <w:rFonts w:cs="Calibri"/>
              </w:rPr>
            </w:pPr>
          </w:p>
          <w:p w:rsidR="00B248CA" w:rsidRPr="00F71B89" w:rsidRDefault="00B248CA" w:rsidP="00715E70">
            <w:pPr>
              <w:pStyle w:val="TableParagraph"/>
              <w:jc w:val="center"/>
              <w:rPr>
                <w:rFonts w:cs="Calibri"/>
                <w:b/>
              </w:rPr>
            </w:pPr>
          </w:p>
          <w:p w:rsidR="00B248CA" w:rsidRPr="00F71B89" w:rsidRDefault="00B248CA" w:rsidP="00715E70">
            <w:pPr>
              <w:pStyle w:val="TableParagraph"/>
              <w:jc w:val="center"/>
              <w:rPr>
                <w:rFonts w:cs="Calibri"/>
                <w:b/>
              </w:rPr>
            </w:pPr>
            <w:r>
              <w:rPr>
                <w:b/>
              </w:rPr>
              <w:t>Dossiers et documents</w:t>
            </w:r>
          </w:p>
          <w:p w:rsidR="00B248CA" w:rsidRPr="00F71B89" w:rsidRDefault="00B248CA" w:rsidP="00715E70">
            <w:pPr>
              <w:pStyle w:val="TableParagraph"/>
              <w:jc w:val="center"/>
              <w:rPr>
                <w:rFonts w:cs="Calibri"/>
              </w:rPr>
            </w:pPr>
          </w:p>
        </w:tc>
        <w:tc>
          <w:tcPr>
            <w:tcW w:w="1090"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jc w:val="center"/>
              <w:rPr>
                <w:rFonts w:cs="Calibri"/>
                <w:b/>
              </w:rPr>
            </w:pPr>
          </w:p>
          <w:p w:rsidR="00B248CA" w:rsidRPr="00F71B89" w:rsidRDefault="00B248CA" w:rsidP="00715E70">
            <w:pPr>
              <w:pStyle w:val="TableParagraph"/>
              <w:jc w:val="center"/>
              <w:rPr>
                <w:rFonts w:cs="Calibri"/>
                <w:b/>
              </w:rPr>
            </w:pPr>
            <w:r>
              <w:rPr>
                <w:b/>
              </w:rPr>
              <w:t>But</w:t>
            </w:r>
          </w:p>
        </w:tc>
        <w:tc>
          <w:tcPr>
            <w:tcW w:w="424"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jc w:val="center"/>
              <w:rPr>
                <w:rFonts w:cs="Calibri"/>
                <w:b/>
              </w:rPr>
            </w:pPr>
          </w:p>
          <w:p w:rsidR="00B248CA" w:rsidRPr="00F71B89" w:rsidRDefault="00B248CA" w:rsidP="00715E70">
            <w:pPr>
              <w:jc w:val="center"/>
              <w:rPr>
                <w:rFonts w:cs="Calibri"/>
              </w:rPr>
            </w:pPr>
            <w:r>
              <w:rPr>
                <w:b/>
              </w:rPr>
              <w:t>Risque</w:t>
            </w:r>
          </w:p>
        </w:tc>
        <w:tc>
          <w:tcPr>
            <w:tcW w:w="849"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spacing w:line="200" w:lineRule="exact"/>
              <w:jc w:val="center"/>
              <w:rPr>
                <w:rFonts w:cs="Calibri"/>
              </w:rPr>
            </w:pPr>
          </w:p>
          <w:p w:rsidR="00B248CA" w:rsidRPr="00F71B89" w:rsidRDefault="00B248CA" w:rsidP="00715E70">
            <w:pPr>
              <w:spacing w:line="200" w:lineRule="exact"/>
              <w:jc w:val="center"/>
              <w:rPr>
                <w:rFonts w:cs="Calibri"/>
                <w:b/>
              </w:rPr>
            </w:pPr>
          </w:p>
          <w:p w:rsidR="00B248CA" w:rsidRPr="00F71B89" w:rsidRDefault="00B248CA" w:rsidP="00715E70">
            <w:pPr>
              <w:spacing w:line="200" w:lineRule="exact"/>
              <w:jc w:val="center"/>
              <w:rPr>
                <w:rFonts w:cs="Calibri"/>
              </w:rPr>
            </w:pPr>
            <w:r>
              <w:rPr>
                <w:b/>
              </w:rPr>
              <w:t>Indicateur</w:t>
            </w:r>
          </w:p>
          <w:p w:rsidR="00B248CA" w:rsidRPr="00F71B89" w:rsidRDefault="00B248CA" w:rsidP="00715E70">
            <w:pPr>
              <w:rPr>
                <w:rFonts w:cs="Calibri"/>
              </w:rPr>
            </w:pPr>
          </w:p>
        </w:tc>
        <w:tc>
          <w:tcPr>
            <w:tcW w:w="818"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jc w:val="center"/>
              <w:rPr>
                <w:rFonts w:cs="Calibri"/>
                <w:b/>
              </w:rPr>
            </w:pPr>
          </w:p>
          <w:p w:rsidR="00B248CA" w:rsidRPr="00F71B89" w:rsidRDefault="00B248CA" w:rsidP="00715E70">
            <w:pPr>
              <w:jc w:val="center"/>
              <w:rPr>
                <w:rFonts w:cs="Calibri"/>
                <w:b/>
              </w:rPr>
            </w:pPr>
            <w:r>
              <w:rPr>
                <w:b/>
              </w:rPr>
              <w:t>Non-conformité constatée</w:t>
            </w:r>
          </w:p>
        </w:tc>
        <w:tc>
          <w:tcPr>
            <w:tcW w:w="666"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jc w:val="center"/>
              <w:rPr>
                <w:rFonts w:cs="Calibri"/>
                <w:b/>
              </w:rPr>
            </w:pPr>
          </w:p>
          <w:p w:rsidR="00B248CA" w:rsidRPr="00F71B89" w:rsidRDefault="00B248CA" w:rsidP="00715E70">
            <w:pPr>
              <w:jc w:val="center"/>
              <w:rPr>
                <w:rFonts w:cs="Calibri"/>
              </w:rPr>
            </w:pPr>
            <w:r>
              <w:rPr>
                <w:b/>
              </w:rPr>
              <w:t>Exigence de conformité</w:t>
            </w:r>
          </w:p>
        </w:tc>
      </w:tr>
      <w:tr w:rsidR="00B248CA" w:rsidRPr="0081122E" w:rsidTr="00715E70">
        <w:trPr>
          <w:trHeight w:hRule="exact" w:val="5838"/>
        </w:trPr>
        <w:tc>
          <w:tcPr>
            <w:tcW w:w="1153"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pStyle w:val="TableParagraph"/>
              <w:spacing w:before="48"/>
              <w:ind w:left="35"/>
              <w:rPr>
                <w:rFonts w:cs="Calibri"/>
                <w:sz w:val="20"/>
                <w:szCs w:val="20"/>
              </w:rPr>
            </w:pPr>
          </w:p>
          <w:p w:rsidR="00B248CA" w:rsidRPr="0081122E" w:rsidRDefault="00B248CA" w:rsidP="00715E70">
            <w:pPr>
              <w:pStyle w:val="TableParagraph"/>
              <w:spacing w:before="48"/>
              <w:ind w:left="35"/>
              <w:rPr>
                <w:rFonts w:cs="Calibri"/>
                <w:sz w:val="20"/>
                <w:szCs w:val="20"/>
              </w:rPr>
            </w:pPr>
            <w:r>
              <w:rPr>
                <w:sz w:val="20"/>
              </w:rPr>
              <w:t>94. Surveillance, visite non annoncée</w:t>
            </w:r>
          </w:p>
          <w:p w:rsidR="00B248CA" w:rsidRPr="0081122E" w:rsidRDefault="00B248CA" w:rsidP="00715E70">
            <w:pPr>
              <w:pStyle w:val="TableParagraph"/>
              <w:spacing w:before="7" w:line="190" w:lineRule="exact"/>
              <w:rPr>
                <w:rFonts w:cs="Calibri"/>
                <w:sz w:val="20"/>
                <w:szCs w:val="20"/>
              </w:rPr>
            </w:pPr>
          </w:p>
          <w:p w:rsidR="00B248CA" w:rsidRDefault="00B248CA" w:rsidP="00715E70">
            <w:pPr>
              <w:pStyle w:val="TableParagraph"/>
              <w:spacing w:line="200" w:lineRule="exact"/>
              <w:ind w:right="38"/>
              <w:rPr>
                <w:rFonts w:cs="Calibri"/>
                <w:sz w:val="20"/>
                <w:szCs w:val="20"/>
              </w:rPr>
            </w:pPr>
            <w:r>
              <w:rPr>
                <w:sz w:val="20"/>
              </w:rPr>
              <w:t xml:space="preserve">Au minimum, les organismes de service doivent surveiller et superviser le respect de la convention de service par la famille hôte. Ils doivent ainsi rencontrer physiquement la famille hôte et la personne placée au moins une fois tous les 60 jours (ou plus souvent, en cas de besoin, à la discrétion de l’organisme), en effectuant notamment une visite annuelle non annoncée, afin de s’assurer que les normes de rendement minimales sont toujours respectées. </w:t>
            </w:r>
          </w:p>
          <w:p w:rsidR="00B248CA" w:rsidRDefault="00B248CA" w:rsidP="00715E70">
            <w:pPr>
              <w:pStyle w:val="TableParagraph"/>
              <w:spacing w:line="200" w:lineRule="exact"/>
              <w:ind w:left="35" w:right="38"/>
              <w:rPr>
                <w:rFonts w:cs="Calibri"/>
                <w:sz w:val="20"/>
                <w:szCs w:val="20"/>
              </w:rPr>
            </w:pPr>
          </w:p>
          <w:p w:rsidR="00B248CA" w:rsidRPr="0081122E" w:rsidRDefault="00B248CA" w:rsidP="00715E70">
            <w:pPr>
              <w:pStyle w:val="TableParagraph"/>
              <w:spacing w:line="200" w:lineRule="exact"/>
              <w:ind w:left="35" w:right="38"/>
              <w:rPr>
                <w:rFonts w:cs="Calibri"/>
                <w:sz w:val="20"/>
                <w:szCs w:val="20"/>
              </w:rPr>
            </w:pPr>
            <w:r>
              <w:rPr>
                <w:sz w:val="20"/>
              </w:rPr>
              <w:t>Directives en matière de politique s’appliquant aux organismes de service en ce qui a trait au Programme de placement en famille hôte 3.2</w:t>
            </w:r>
          </w:p>
        </w:tc>
        <w:tc>
          <w:tcPr>
            <w:tcW w:w="1090"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436273" w:rsidRDefault="00B248CA" w:rsidP="00715E70">
            <w:pPr>
              <w:rPr>
                <w:rFonts w:cs="Calibri"/>
                <w:sz w:val="20"/>
                <w:szCs w:val="20"/>
              </w:rPr>
            </w:pPr>
            <w:r>
              <w:rPr>
                <w:sz w:val="20"/>
              </w:rPr>
              <w:t xml:space="preserve">L’organisme de service doit s’acquitter de ses obligations et s’assurer que la famille remplit les siennes en : </w:t>
            </w:r>
          </w:p>
          <w:p w:rsidR="00B248CA" w:rsidRDefault="00B248CA" w:rsidP="00715E70">
            <w:pPr>
              <w:pStyle w:val="ListParagraph"/>
              <w:ind w:left="720"/>
              <w:rPr>
                <w:rFonts w:cs="Calibri"/>
                <w:sz w:val="20"/>
                <w:szCs w:val="20"/>
              </w:rPr>
            </w:pPr>
          </w:p>
          <w:p w:rsidR="00B248CA" w:rsidRPr="00436273" w:rsidRDefault="00B248CA" w:rsidP="00715E70">
            <w:pPr>
              <w:pStyle w:val="ListParagraph"/>
              <w:numPr>
                <w:ilvl w:val="0"/>
                <w:numId w:val="15"/>
              </w:numPr>
              <w:rPr>
                <w:rFonts w:cs="Calibri"/>
                <w:sz w:val="20"/>
                <w:szCs w:val="20"/>
              </w:rPr>
            </w:pPr>
            <w:r>
              <w:rPr>
                <w:sz w:val="20"/>
              </w:rPr>
              <w:t>surveillant et supervisant le respect de la convention de service par la famille hôte;</w:t>
            </w:r>
          </w:p>
          <w:p w:rsidR="00B248CA" w:rsidRPr="00436273" w:rsidRDefault="00B248CA" w:rsidP="00715E70">
            <w:pPr>
              <w:pStyle w:val="ListParagraph"/>
              <w:numPr>
                <w:ilvl w:val="0"/>
                <w:numId w:val="13"/>
              </w:numPr>
              <w:rPr>
                <w:rFonts w:cs="Calibri"/>
                <w:sz w:val="20"/>
                <w:szCs w:val="20"/>
              </w:rPr>
            </w:pPr>
            <w:r>
              <w:rPr>
                <w:sz w:val="20"/>
              </w:rPr>
              <w:t>rencontrant physiquement la famille hôte et la personne placée, au moins une fois tous les 60 jours;</w:t>
            </w:r>
          </w:p>
          <w:p w:rsidR="00B248CA" w:rsidRPr="00436273" w:rsidRDefault="00B248CA" w:rsidP="00715E70">
            <w:pPr>
              <w:pStyle w:val="ListParagraph"/>
              <w:numPr>
                <w:ilvl w:val="0"/>
                <w:numId w:val="13"/>
              </w:numPr>
              <w:rPr>
                <w:rFonts w:cs="Calibri"/>
                <w:sz w:val="20"/>
                <w:szCs w:val="20"/>
              </w:rPr>
            </w:pPr>
            <w:r>
              <w:rPr>
                <w:sz w:val="20"/>
              </w:rPr>
              <w:t>effectuant au moins une visite annuelle non annoncée.</w:t>
            </w:r>
          </w:p>
          <w:p w:rsidR="00B248CA" w:rsidRDefault="00B248CA" w:rsidP="00715E70">
            <w:pPr>
              <w:rPr>
                <w:rFonts w:cs="Calibri"/>
                <w:sz w:val="20"/>
                <w:szCs w:val="20"/>
              </w:rPr>
            </w:pPr>
          </w:p>
        </w:tc>
        <w:tc>
          <w:tcPr>
            <w:tcW w:w="42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r>
              <w:softHyphen/>
            </w:r>
          </w:p>
          <w:p w:rsidR="00B248CA" w:rsidRPr="0081122E" w:rsidRDefault="00B248CA" w:rsidP="00715E70">
            <w:pPr>
              <w:jc w:val="center"/>
              <w:rPr>
                <w:rFonts w:cs="Calibri"/>
                <w:sz w:val="20"/>
                <w:szCs w:val="20"/>
              </w:rPr>
            </w:pPr>
            <w:r>
              <w:rPr>
                <w:sz w:val="20"/>
              </w:rPr>
              <w:t>ÉLEVÉ</w:t>
            </w:r>
          </w:p>
        </w:tc>
        <w:tc>
          <w:tcPr>
            <w:tcW w:w="849" w:type="pct"/>
            <w:tcBorders>
              <w:top w:val="single" w:sz="4" w:space="0" w:color="000000"/>
              <w:left w:val="single" w:sz="4" w:space="0" w:color="000000"/>
              <w:bottom w:val="single" w:sz="4" w:space="0" w:color="000000"/>
              <w:right w:val="single" w:sz="4" w:space="0" w:color="000000"/>
            </w:tcBorders>
          </w:tcPr>
          <w:p w:rsidR="00B248CA" w:rsidRDefault="00B248CA" w:rsidP="00715E70">
            <w:pPr>
              <w:pStyle w:val="ListParagraph"/>
              <w:rPr>
                <w:rFonts w:cs="Calibri"/>
                <w:sz w:val="20"/>
                <w:szCs w:val="20"/>
              </w:rPr>
            </w:pPr>
          </w:p>
          <w:p w:rsidR="00B248CA" w:rsidRPr="0081122E" w:rsidRDefault="00B248CA" w:rsidP="00715E70">
            <w:pPr>
              <w:pStyle w:val="ListParagraph"/>
              <w:rPr>
                <w:rFonts w:cs="Calibri"/>
                <w:sz w:val="20"/>
                <w:szCs w:val="20"/>
              </w:rPr>
            </w:pPr>
            <w:r>
              <w:rPr>
                <w:sz w:val="20"/>
              </w:rPr>
              <w:t>Comptes rendus des rencontres, dossiers trimestriels; relevés de communication.</w:t>
            </w:r>
          </w:p>
        </w:tc>
        <w:tc>
          <w:tcPr>
            <w:tcW w:w="818"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Aucune preuve ne permet de confirmer que l’organisme de service a effectué au moins une visite annuelle non annoncée auprès de la famille hôte et de la personne placée.</w:t>
            </w:r>
          </w:p>
        </w:tc>
        <w:tc>
          <w:tcPr>
            <w:tcW w:w="666"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rPr>
                <w:rFonts w:cs="Calibri"/>
                <w:sz w:val="20"/>
                <w:szCs w:val="20"/>
              </w:rPr>
            </w:pPr>
            <w:r>
              <w:rPr>
                <w:sz w:val="20"/>
              </w:rPr>
              <w:t>Il est nécessaire, dans les 24 heures qui suivent la réception de la lettre de non-conformité, de fournir une réponse et/ou de justifier les actions réalisées en décrivant les mesures correctives et les délais de résolution du problème. Il convient d’envoyer, dans les 10 jours ouvrables, une lettre ou un document confirmant que la mesure corrective a été menée à bien.</w:t>
            </w:r>
          </w:p>
        </w:tc>
      </w:tr>
      <w:tr w:rsidR="00B248CA" w:rsidRPr="0081122E" w:rsidTr="00715E70">
        <w:trPr>
          <w:trHeight w:hRule="exact" w:val="6144"/>
        </w:trPr>
        <w:tc>
          <w:tcPr>
            <w:tcW w:w="1153"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pStyle w:val="TableParagraph"/>
              <w:spacing w:before="48"/>
              <w:ind w:left="35"/>
              <w:rPr>
                <w:rFonts w:cs="Calibri"/>
                <w:sz w:val="20"/>
                <w:szCs w:val="20"/>
              </w:rPr>
            </w:pPr>
          </w:p>
          <w:p w:rsidR="00B248CA" w:rsidRPr="002D78D6" w:rsidRDefault="00B248CA" w:rsidP="00715E70">
            <w:pPr>
              <w:rPr>
                <w:rFonts w:cs="Calibri"/>
                <w:color w:val="000000"/>
                <w:sz w:val="20"/>
                <w:szCs w:val="20"/>
              </w:rPr>
            </w:pPr>
            <w:r>
              <w:rPr>
                <w:color w:val="000000"/>
                <w:sz w:val="20"/>
              </w:rPr>
              <w:t>95. Surveillance, rencontre trimestrielle avec la personne placée</w:t>
            </w:r>
          </w:p>
          <w:p w:rsidR="00B248CA" w:rsidRPr="0081122E" w:rsidRDefault="00B248CA" w:rsidP="00715E70">
            <w:pPr>
              <w:pStyle w:val="TableParagraph"/>
              <w:spacing w:before="7" w:line="190" w:lineRule="exact"/>
              <w:rPr>
                <w:rFonts w:cs="Calibri"/>
                <w:sz w:val="20"/>
                <w:szCs w:val="20"/>
              </w:rPr>
            </w:pPr>
          </w:p>
          <w:p w:rsidR="00B248CA" w:rsidRDefault="00B248CA" w:rsidP="00715E70">
            <w:pPr>
              <w:pStyle w:val="TableParagraph"/>
              <w:spacing w:line="200" w:lineRule="exact"/>
              <w:ind w:left="35" w:right="38"/>
              <w:rPr>
                <w:rFonts w:cs="Calibri"/>
                <w:sz w:val="20"/>
                <w:szCs w:val="20"/>
              </w:rPr>
            </w:pPr>
            <w:r>
              <w:rPr>
                <w:sz w:val="20"/>
              </w:rPr>
              <w:t xml:space="preserve">Au minimum, les organismes de service doivent rencontrer physiquement la personne placée, qui peut être accompagnée d’un pair, d’un ami ou d’un membre de sa famille, selon ce qui peut convenir ou ce que la personne peut demander, et ce, au moins tous les trimestres et sans que la famille hôte soit présente, afin de recueillir les commentaires de la personne et de régler ses éventuels problèmes de façon personnalisée et confidentielle. </w:t>
            </w:r>
          </w:p>
          <w:p w:rsidR="00B248CA" w:rsidRDefault="00B248CA" w:rsidP="00715E70">
            <w:pPr>
              <w:pStyle w:val="TableParagraph"/>
              <w:spacing w:line="200" w:lineRule="exact"/>
              <w:ind w:left="35" w:right="38"/>
              <w:rPr>
                <w:rFonts w:cs="Calibri"/>
                <w:sz w:val="20"/>
                <w:szCs w:val="20"/>
              </w:rPr>
            </w:pPr>
          </w:p>
          <w:p w:rsidR="00B248CA" w:rsidRPr="0081122E" w:rsidRDefault="00B248CA" w:rsidP="00715E70">
            <w:pPr>
              <w:pStyle w:val="TableParagraph"/>
              <w:spacing w:line="200" w:lineRule="exact"/>
              <w:ind w:left="35" w:right="38"/>
              <w:rPr>
                <w:rFonts w:cs="Calibri"/>
                <w:sz w:val="20"/>
                <w:szCs w:val="20"/>
              </w:rPr>
            </w:pPr>
            <w:r>
              <w:rPr>
                <w:sz w:val="20"/>
              </w:rPr>
              <w:t>Directives en matière de politique s’appliquant aux organismes de service en ce qui a trait au Programme de placement en famille hôte 3.1</w:t>
            </w:r>
          </w:p>
        </w:tc>
        <w:tc>
          <w:tcPr>
            <w:tcW w:w="1090"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BE7023" w:rsidRDefault="00B248CA" w:rsidP="00715E70">
            <w:pPr>
              <w:rPr>
                <w:rFonts w:cs="Calibri"/>
                <w:sz w:val="20"/>
                <w:szCs w:val="20"/>
              </w:rPr>
            </w:pPr>
            <w:r>
              <w:rPr>
                <w:sz w:val="20"/>
              </w:rPr>
              <w:t xml:space="preserve"> L’organisme de service doit s’acquitter de ses obligations et s’assurer que la famille remplit les siennes en veillant à ce que :</w:t>
            </w:r>
          </w:p>
          <w:p w:rsidR="00B248CA" w:rsidRPr="00BE7023" w:rsidRDefault="00B248CA" w:rsidP="00715E70">
            <w:pPr>
              <w:rPr>
                <w:rFonts w:cs="Calibri"/>
                <w:sz w:val="20"/>
                <w:szCs w:val="20"/>
              </w:rPr>
            </w:pPr>
          </w:p>
          <w:p w:rsidR="00B248CA" w:rsidRPr="00BE7023" w:rsidRDefault="00B248CA" w:rsidP="00715E70">
            <w:pPr>
              <w:pStyle w:val="ListParagraph"/>
              <w:numPr>
                <w:ilvl w:val="0"/>
                <w:numId w:val="2"/>
              </w:numPr>
              <w:rPr>
                <w:rFonts w:cs="Calibri"/>
                <w:sz w:val="20"/>
                <w:szCs w:val="20"/>
              </w:rPr>
            </w:pPr>
            <w:r>
              <w:rPr>
                <w:sz w:val="20"/>
              </w:rPr>
              <w:t>la famille hôte épaule la personne conformément à son rôle et à ses responsabilités;</w:t>
            </w:r>
          </w:p>
          <w:p w:rsidR="00B248CA" w:rsidRDefault="00B248CA" w:rsidP="00715E70">
            <w:pPr>
              <w:ind w:left="360"/>
              <w:rPr>
                <w:rFonts w:cs="Calibri"/>
                <w:sz w:val="20"/>
                <w:szCs w:val="20"/>
              </w:rPr>
            </w:pPr>
            <w:r>
              <w:rPr>
                <w:sz w:val="20"/>
              </w:rPr>
              <w:t>la résidence garantisse un milieu de vie sécuritaire.</w:t>
            </w:r>
          </w:p>
        </w:tc>
        <w:tc>
          <w:tcPr>
            <w:tcW w:w="42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r>
              <w:softHyphen/>
            </w:r>
          </w:p>
          <w:p w:rsidR="00B248CA" w:rsidRPr="0081122E" w:rsidRDefault="00B248CA" w:rsidP="00715E70">
            <w:pPr>
              <w:jc w:val="center"/>
              <w:rPr>
                <w:rFonts w:cs="Calibri"/>
                <w:sz w:val="20"/>
                <w:szCs w:val="20"/>
              </w:rPr>
            </w:pPr>
            <w:r>
              <w:rPr>
                <w:sz w:val="20"/>
              </w:rPr>
              <w:t>MODÉRÉ</w:t>
            </w:r>
          </w:p>
        </w:tc>
        <w:tc>
          <w:tcPr>
            <w:tcW w:w="849" w:type="pct"/>
            <w:tcBorders>
              <w:top w:val="single" w:sz="4" w:space="0" w:color="000000"/>
              <w:left w:val="single" w:sz="4" w:space="0" w:color="000000"/>
              <w:bottom w:val="single" w:sz="4" w:space="0" w:color="000000"/>
              <w:right w:val="single" w:sz="4" w:space="0" w:color="000000"/>
            </w:tcBorders>
          </w:tcPr>
          <w:p w:rsidR="00B248CA" w:rsidRDefault="00B248CA" w:rsidP="00715E70">
            <w:pPr>
              <w:pStyle w:val="ListParagraph"/>
              <w:rPr>
                <w:rFonts w:cs="Calibri"/>
                <w:sz w:val="20"/>
                <w:szCs w:val="20"/>
              </w:rPr>
            </w:pPr>
          </w:p>
          <w:p w:rsidR="00B248CA" w:rsidRPr="0081122E" w:rsidRDefault="00B248CA" w:rsidP="00715E70">
            <w:pPr>
              <w:rPr>
                <w:rFonts w:cs="Calibri"/>
                <w:sz w:val="20"/>
                <w:szCs w:val="20"/>
              </w:rPr>
            </w:pPr>
            <w:r>
              <w:rPr>
                <w:sz w:val="20"/>
              </w:rPr>
              <w:t>Comptes rendus des rencontres, dossiers trimestriels; relevés de communication.</w:t>
            </w:r>
          </w:p>
        </w:tc>
        <w:tc>
          <w:tcPr>
            <w:tcW w:w="818"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Aucune preuve ne permet de confirmer que l’organisme de service a rencontré la personne placée tous les trimestres et sans que la famille hôte soit présente.</w:t>
            </w:r>
          </w:p>
        </w:tc>
        <w:tc>
          <w:tcPr>
            <w:tcW w:w="666"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Une lettre ou un document confirmant que la mesure corrective a été menée à bien.</w:t>
            </w:r>
          </w:p>
          <w:p w:rsidR="00B248CA" w:rsidRPr="0081122E" w:rsidRDefault="00B248CA" w:rsidP="00715E70">
            <w:pPr>
              <w:rPr>
                <w:rFonts w:cs="Calibri"/>
                <w:sz w:val="20"/>
                <w:szCs w:val="20"/>
              </w:rPr>
            </w:pPr>
          </w:p>
        </w:tc>
      </w:tr>
      <w:tr w:rsidR="00B248CA" w:rsidRPr="0081122E" w:rsidTr="00715E70">
        <w:trPr>
          <w:trHeight w:hRule="exact" w:val="6864"/>
        </w:trPr>
        <w:tc>
          <w:tcPr>
            <w:tcW w:w="1153"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pStyle w:val="TableParagraph"/>
              <w:spacing w:before="48"/>
              <w:ind w:left="35"/>
              <w:rPr>
                <w:rFonts w:cs="Calibri"/>
                <w:sz w:val="20"/>
                <w:szCs w:val="20"/>
              </w:rPr>
            </w:pPr>
          </w:p>
          <w:p w:rsidR="00B248CA" w:rsidRPr="0081122E" w:rsidRDefault="00B248CA" w:rsidP="00715E70">
            <w:pPr>
              <w:pStyle w:val="TableParagraph"/>
              <w:spacing w:before="48"/>
              <w:ind w:left="35"/>
              <w:rPr>
                <w:rFonts w:cs="Calibri"/>
                <w:sz w:val="20"/>
                <w:szCs w:val="20"/>
              </w:rPr>
            </w:pPr>
            <w:r>
              <w:rPr>
                <w:sz w:val="20"/>
              </w:rPr>
              <w:t>96. Surveillance de la sécurité personnelle; vérification matérielle</w:t>
            </w:r>
          </w:p>
          <w:p w:rsidR="00B248CA" w:rsidRPr="0081122E" w:rsidRDefault="00B248CA" w:rsidP="00715E70">
            <w:pPr>
              <w:pStyle w:val="TableParagraph"/>
              <w:spacing w:before="7" w:line="190" w:lineRule="exact"/>
              <w:rPr>
                <w:rFonts w:cs="Calibri"/>
                <w:sz w:val="20"/>
                <w:szCs w:val="20"/>
              </w:rPr>
            </w:pPr>
          </w:p>
          <w:p w:rsidR="00B248CA" w:rsidRDefault="00B248CA" w:rsidP="00715E70">
            <w:pPr>
              <w:pStyle w:val="TableParagraph"/>
              <w:spacing w:line="200" w:lineRule="exact"/>
              <w:ind w:left="35" w:right="38"/>
              <w:rPr>
                <w:rFonts w:cs="Calibri"/>
                <w:sz w:val="20"/>
                <w:szCs w:val="20"/>
              </w:rPr>
            </w:pPr>
            <w:r>
              <w:rPr>
                <w:sz w:val="20"/>
              </w:rPr>
              <w:t xml:space="preserve">Au minimum, les organismes de service doivent surveiller la sécurité des personnes recevant des soutiens et des services dans le cadre du Programme de placement en famille hôte, et notamment effectuer une vérification matérielle de la résidence et du terrain afin de s’assurer que le milieu de vie de la personne placée est propre et sécuritaire. </w:t>
            </w:r>
          </w:p>
          <w:p w:rsidR="00B248CA" w:rsidRDefault="00B248CA" w:rsidP="00715E70">
            <w:pPr>
              <w:pStyle w:val="TableParagraph"/>
              <w:spacing w:line="200" w:lineRule="exact"/>
              <w:ind w:left="35" w:right="38"/>
              <w:rPr>
                <w:rFonts w:cs="Calibri"/>
                <w:sz w:val="20"/>
                <w:szCs w:val="20"/>
              </w:rPr>
            </w:pPr>
          </w:p>
          <w:p w:rsidR="00B248CA" w:rsidRPr="0081122E" w:rsidRDefault="00B248CA" w:rsidP="00715E70">
            <w:pPr>
              <w:pStyle w:val="TableParagraph"/>
              <w:spacing w:line="200" w:lineRule="exact"/>
              <w:ind w:left="35" w:right="38"/>
              <w:rPr>
                <w:rFonts w:cs="Calibri"/>
                <w:sz w:val="20"/>
                <w:szCs w:val="20"/>
              </w:rPr>
            </w:pPr>
            <w:r>
              <w:rPr>
                <w:sz w:val="20"/>
              </w:rPr>
              <w:t>Directives en matière de politique s’appliquant aux organismes de service en ce qui a trait au Programme de placement en famille hôte 3.2</w:t>
            </w:r>
          </w:p>
        </w:tc>
        <w:tc>
          <w:tcPr>
            <w:tcW w:w="1090"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L’organisme de service doit s’acquitter de ses obligations et s’assurer que la famille remplit les siennes en veillant à ce que :</w:t>
            </w:r>
          </w:p>
          <w:p w:rsidR="00B248CA" w:rsidRDefault="00B248CA" w:rsidP="00715E70">
            <w:pPr>
              <w:rPr>
                <w:rFonts w:cs="Calibri"/>
                <w:sz w:val="20"/>
                <w:szCs w:val="20"/>
              </w:rPr>
            </w:pPr>
          </w:p>
          <w:p w:rsidR="00B248CA" w:rsidRDefault="00B248CA" w:rsidP="00715E70">
            <w:pPr>
              <w:rPr>
                <w:rFonts w:cs="Calibri"/>
                <w:sz w:val="20"/>
                <w:szCs w:val="20"/>
              </w:rPr>
            </w:pPr>
            <w:r>
              <w:rPr>
                <w:sz w:val="20"/>
              </w:rPr>
              <w:t xml:space="preserve">L’organisme de service effectue une vérification matérielle de la résidence et du terrain afin de s’assurer que le milieu de vie de la personne placée est propre et sécuritaire. </w:t>
            </w:r>
          </w:p>
        </w:tc>
        <w:tc>
          <w:tcPr>
            <w:tcW w:w="42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jc w:val="center"/>
              <w:rPr>
                <w:rFonts w:cs="Calibri"/>
                <w:sz w:val="20"/>
                <w:szCs w:val="20"/>
              </w:rPr>
            </w:pPr>
            <w:r>
              <w:rPr>
                <w:sz w:val="20"/>
              </w:rPr>
              <w:t>ÉLEVÉ</w:t>
            </w:r>
          </w:p>
        </w:tc>
        <w:tc>
          <w:tcPr>
            <w:tcW w:w="849" w:type="pct"/>
            <w:tcBorders>
              <w:top w:val="single" w:sz="4" w:space="0" w:color="000000"/>
              <w:left w:val="single" w:sz="4" w:space="0" w:color="000000"/>
              <w:bottom w:val="single" w:sz="4" w:space="0" w:color="000000"/>
              <w:right w:val="single" w:sz="4" w:space="0" w:color="000000"/>
            </w:tcBorders>
          </w:tcPr>
          <w:p w:rsidR="00B248CA" w:rsidRDefault="00B248CA" w:rsidP="00715E70">
            <w:pPr>
              <w:pStyle w:val="ListParagraph"/>
              <w:rPr>
                <w:rFonts w:cs="Calibri"/>
                <w:sz w:val="20"/>
                <w:szCs w:val="20"/>
              </w:rPr>
            </w:pPr>
          </w:p>
          <w:p w:rsidR="00B248CA" w:rsidRPr="00B05EDF" w:rsidRDefault="00B248CA" w:rsidP="00715E70">
            <w:pPr>
              <w:rPr>
                <w:rFonts w:cs="Calibri"/>
                <w:sz w:val="20"/>
                <w:szCs w:val="20"/>
              </w:rPr>
            </w:pPr>
            <w:r>
              <w:rPr>
                <w:sz w:val="20"/>
              </w:rPr>
              <w:t>Comptes rendus des rencontres, dossiers trimestriels; relevés de communication; listes de contrôle de sécurité.</w:t>
            </w:r>
          </w:p>
        </w:tc>
        <w:tc>
          <w:tcPr>
            <w:tcW w:w="818"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Aucune preuve ne permet de confirmer que l’organisme de service a surveillé la sécurité des personnes recevant des soutiens et des services dans le cadre du Programme de placement en famille hôte en effectuant notamment une vérification matérielle de la résidence et du terrain.</w:t>
            </w:r>
          </w:p>
        </w:tc>
        <w:tc>
          <w:tcPr>
            <w:tcW w:w="666"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rPr>
                <w:rFonts w:cs="Calibri"/>
                <w:sz w:val="20"/>
                <w:szCs w:val="20"/>
              </w:rPr>
            </w:pPr>
            <w:r>
              <w:rPr>
                <w:sz w:val="20"/>
              </w:rPr>
              <w:t>Il est nécessaire, dans les 24 heures qui suivent la réception de la lettre de non-conformité, de fournir une réponse et/ou de justifier les actions réalisées en décrivant les mesures correctives et les délais de résolution du problème. Il convient d’envoyer, dans les 10 jours ouvrables, une lettre ou un document confirmant que la mesure corrective a été menée à bien.</w:t>
            </w:r>
          </w:p>
        </w:tc>
      </w:tr>
      <w:tr w:rsidR="00B248CA" w:rsidRPr="0081122E" w:rsidTr="00715E70">
        <w:trPr>
          <w:trHeight w:hRule="exact" w:val="6864"/>
        </w:trPr>
        <w:tc>
          <w:tcPr>
            <w:tcW w:w="1153"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pStyle w:val="TableParagraph"/>
              <w:spacing w:before="48"/>
              <w:ind w:left="35"/>
              <w:rPr>
                <w:rFonts w:cs="Calibri"/>
                <w:sz w:val="20"/>
                <w:szCs w:val="20"/>
              </w:rPr>
            </w:pPr>
          </w:p>
          <w:p w:rsidR="00B248CA" w:rsidRPr="0081122E" w:rsidRDefault="00B248CA" w:rsidP="00715E70">
            <w:pPr>
              <w:pStyle w:val="TableParagraph"/>
              <w:spacing w:before="48"/>
              <w:ind w:left="35"/>
              <w:rPr>
                <w:rFonts w:cs="Calibri"/>
                <w:sz w:val="20"/>
                <w:szCs w:val="20"/>
              </w:rPr>
            </w:pPr>
            <w:r>
              <w:rPr>
                <w:sz w:val="20"/>
              </w:rPr>
              <w:t>97. Surveillance de la sécurité personnelle; exigences de sécurité</w:t>
            </w:r>
          </w:p>
          <w:p w:rsidR="00B248CA" w:rsidRPr="0081122E" w:rsidRDefault="00B248CA" w:rsidP="00715E70">
            <w:pPr>
              <w:pStyle w:val="TableParagraph"/>
              <w:spacing w:before="7" w:line="190" w:lineRule="exact"/>
              <w:rPr>
                <w:rFonts w:cs="Calibri"/>
                <w:sz w:val="20"/>
                <w:szCs w:val="20"/>
              </w:rPr>
            </w:pPr>
          </w:p>
          <w:p w:rsidR="00B248CA" w:rsidRDefault="00B248CA" w:rsidP="00715E70">
            <w:pPr>
              <w:pStyle w:val="TableParagraph"/>
              <w:spacing w:line="200" w:lineRule="exact"/>
              <w:ind w:left="35" w:right="38"/>
              <w:rPr>
                <w:rFonts w:cs="Calibri"/>
                <w:sz w:val="20"/>
                <w:szCs w:val="20"/>
              </w:rPr>
            </w:pPr>
            <w:r>
              <w:rPr>
                <w:sz w:val="20"/>
              </w:rPr>
              <w:t>Au minimum, les organismes de service doivent surveiller la sécurité des personnes recevant des soutiens et des services dans le cadre du Programme de placement en famille hôte, et notamment contrôler l’application des exigences liées à la sécurité-incendie, à la prévention des risques pour la santé et à l’évaluation de la qualité de l’eau, le cas échéant</w:t>
            </w:r>
            <w:r w:rsidR="00E67072">
              <w:rPr>
                <w:sz w:val="20"/>
              </w:rPr>
              <w:t>,</w:t>
            </w:r>
            <w:r>
              <w:rPr>
                <w:sz w:val="20"/>
              </w:rPr>
              <w:t xml:space="preserve"> dans la résidence de la famille hôte et, à cette fin, de faire appel à d’autres représentants ou professionnels selon le besoin. </w:t>
            </w:r>
          </w:p>
          <w:p w:rsidR="00B248CA" w:rsidRDefault="00B248CA" w:rsidP="00715E70">
            <w:pPr>
              <w:pStyle w:val="TableParagraph"/>
              <w:spacing w:line="200" w:lineRule="exact"/>
              <w:ind w:left="35" w:right="38"/>
              <w:rPr>
                <w:rFonts w:cs="Calibri"/>
                <w:sz w:val="20"/>
                <w:szCs w:val="20"/>
              </w:rPr>
            </w:pPr>
          </w:p>
          <w:p w:rsidR="00B248CA" w:rsidRPr="0081122E" w:rsidRDefault="00B248CA" w:rsidP="00715E70">
            <w:pPr>
              <w:pStyle w:val="TableParagraph"/>
              <w:spacing w:line="200" w:lineRule="exact"/>
              <w:ind w:left="35" w:right="38"/>
              <w:rPr>
                <w:rFonts w:cs="Calibri"/>
                <w:sz w:val="20"/>
                <w:szCs w:val="20"/>
              </w:rPr>
            </w:pPr>
            <w:r>
              <w:rPr>
                <w:sz w:val="20"/>
              </w:rPr>
              <w:t>Directives en matière de politique s’appliquant aux organismes de service en ce qui a trait au Programme de placement en famille hôte 3.2</w:t>
            </w:r>
          </w:p>
        </w:tc>
        <w:tc>
          <w:tcPr>
            <w:tcW w:w="1090"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Le but est de s’assurer que l’organisme de service surveille la sécurité de la personne recevant des soutiens et des services dans le cadre du Programme de placement en famille hôte.</w:t>
            </w:r>
          </w:p>
        </w:tc>
        <w:tc>
          <w:tcPr>
            <w:tcW w:w="42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jc w:val="center"/>
              <w:rPr>
                <w:rFonts w:cs="Calibri"/>
                <w:sz w:val="20"/>
                <w:szCs w:val="20"/>
              </w:rPr>
            </w:pPr>
            <w:r>
              <w:rPr>
                <w:sz w:val="20"/>
              </w:rPr>
              <w:t>ÉLEVÉ</w:t>
            </w:r>
          </w:p>
        </w:tc>
        <w:tc>
          <w:tcPr>
            <w:tcW w:w="849"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rPr>
                <w:rFonts w:cs="Calibri"/>
                <w:sz w:val="20"/>
                <w:szCs w:val="20"/>
              </w:rPr>
            </w:pPr>
            <w:r>
              <w:rPr>
                <w:sz w:val="20"/>
              </w:rPr>
              <w:t>Comptes rendus des rencontres, dossiers trimestriels; relevés de communication; listes de contrôle de sécurité.</w:t>
            </w:r>
          </w:p>
        </w:tc>
        <w:tc>
          <w:tcPr>
            <w:tcW w:w="818"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Aucune preuve ne permet de confirmer que l’organisme de service a surveillé la sécurité des personnes recevant des soutiens et des services dans le cadre du Programme de placement en famille hôte en contrôlant notamment l’application des exigences liées à la sécurité-incendie, à la prévention des risques pour la santé et à l’évaluation de la qualité de l’eau, le cas échéant</w:t>
            </w:r>
            <w:r w:rsidR="00653BDE">
              <w:rPr>
                <w:sz w:val="20"/>
              </w:rPr>
              <w:t>.</w:t>
            </w:r>
          </w:p>
        </w:tc>
        <w:tc>
          <w:tcPr>
            <w:tcW w:w="666"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rPr>
                <w:rFonts w:cs="Calibri"/>
                <w:sz w:val="20"/>
                <w:szCs w:val="20"/>
              </w:rPr>
            </w:pPr>
            <w:r>
              <w:rPr>
                <w:sz w:val="20"/>
              </w:rPr>
              <w:t>Il est nécessaire, dans les 24 heures qui suivent la réception de la lettre de non-conformité, de fournir une réponse et/ou de justifier les actions réalisées en décrivant les mesures correctives et les délais de résolution du problème. Il convient d’envoyer, dans les 10 jours ouvrables, une lettre ou un document confirmant que la mesure corrective a été menée à bien.</w:t>
            </w:r>
          </w:p>
        </w:tc>
      </w:tr>
    </w:tbl>
    <w:p w:rsidR="00B248CA" w:rsidRPr="0081122E" w:rsidRDefault="00B248CA" w:rsidP="00B248CA">
      <w:pPr>
        <w:rPr>
          <w:rFonts w:cs="Calibri"/>
          <w:sz w:val="20"/>
          <w:szCs w:val="20"/>
        </w:rPr>
        <w:sectPr w:rsidR="00B248CA" w:rsidRPr="0081122E" w:rsidSect="0049355F">
          <w:pgSz w:w="15840" w:h="12240" w:orient="landscape" w:code="1"/>
          <w:pgMar w:top="2200" w:right="480" w:bottom="420" w:left="500" w:header="600" w:footer="230" w:gutter="0"/>
          <w:cols w:space="720"/>
          <w:docGrid w:linePitch="299"/>
        </w:sectPr>
      </w:pPr>
    </w:p>
    <w:p w:rsidR="00B248CA" w:rsidRPr="0081122E" w:rsidRDefault="00B248CA" w:rsidP="00B248CA">
      <w:pPr>
        <w:spacing w:line="110" w:lineRule="exact"/>
        <w:rPr>
          <w:rFonts w:cs="Calibri"/>
          <w:sz w:val="20"/>
          <w:szCs w:val="20"/>
        </w:rPr>
      </w:pPr>
    </w:p>
    <w:p w:rsidR="00B248CA" w:rsidRPr="0081122E" w:rsidRDefault="00B248CA" w:rsidP="00B248CA">
      <w:pPr>
        <w:spacing w:line="200" w:lineRule="exact"/>
        <w:rPr>
          <w:rFonts w:cs="Calibri"/>
          <w:sz w:val="20"/>
          <w:szCs w:val="20"/>
        </w:rPr>
      </w:pPr>
    </w:p>
    <w:tbl>
      <w:tblPr>
        <w:tblW w:w="5000" w:type="pct"/>
        <w:tblCellMar>
          <w:left w:w="0" w:type="dxa"/>
          <w:right w:w="0" w:type="dxa"/>
        </w:tblCellMar>
        <w:tblLook w:val="01E0" w:firstRow="1" w:lastRow="1" w:firstColumn="1" w:lastColumn="1" w:noHBand="0" w:noVBand="0"/>
      </w:tblPr>
      <w:tblGrid>
        <w:gridCol w:w="3675"/>
        <w:gridCol w:w="2989"/>
        <w:gridCol w:w="1261"/>
        <w:gridCol w:w="2519"/>
        <w:gridCol w:w="2430"/>
        <w:gridCol w:w="1996"/>
      </w:tblGrid>
      <w:tr w:rsidR="00B248CA" w:rsidRPr="0081122E" w:rsidTr="00715E70">
        <w:trPr>
          <w:trHeight w:val="960"/>
          <w:tblHeader/>
        </w:trPr>
        <w:tc>
          <w:tcPr>
            <w:tcW w:w="1236"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spacing w:before="8" w:line="180" w:lineRule="exact"/>
              <w:rPr>
                <w:rFonts w:cs="Calibri"/>
              </w:rPr>
            </w:pPr>
          </w:p>
          <w:p w:rsidR="00B248CA" w:rsidRPr="00F71B89" w:rsidRDefault="00B248CA" w:rsidP="00715E70">
            <w:pPr>
              <w:pStyle w:val="TableParagraph"/>
              <w:spacing w:line="200" w:lineRule="exact"/>
              <w:rPr>
                <w:rFonts w:cs="Calibri"/>
              </w:rPr>
            </w:pPr>
          </w:p>
          <w:p w:rsidR="00B248CA" w:rsidRPr="00F71B89" w:rsidRDefault="00B248CA" w:rsidP="00715E70">
            <w:pPr>
              <w:pStyle w:val="TableParagraph"/>
              <w:jc w:val="center"/>
              <w:rPr>
                <w:rFonts w:cs="Calibri"/>
                <w:b/>
              </w:rPr>
            </w:pPr>
            <w:r>
              <w:rPr>
                <w:b/>
              </w:rPr>
              <w:t>Dossiers et documents</w:t>
            </w:r>
          </w:p>
          <w:p w:rsidR="00B248CA" w:rsidRPr="00F71B89" w:rsidRDefault="00B248CA" w:rsidP="00715E70">
            <w:pPr>
              <w:pStyle w:val="TableParagraph"/>
              <w:jc w:val="center"/>
              <w:rPr>
                <w:rFonts w:cs="Calibri"/>
              </w:rPr>
            </w:pPr>
          </w:p>
        </w:tc>
        <w:tc>
          <w:tcPr>
            <w:tcW w:w="1005"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jc w:val="center"/>
              <w:rPr>
                <w:rFonts w:cs="Calibri"/>
                <w:b/>
              </w:rPr>
            </w:pPr>
          </w:p>
          <w:p w:rsidR="00B248CA" w:rsidRPr="00F71B89" w:rsidRDefault="00B248CA" w:rsidP="00715E70">
            <w:pPr>
              <w:pStyle w:val="TableParagraph"/>
              <w:jc w:val="center"/>
              <w:rPr>
                <w:rFonts w:cs="Calibri"/>
                <w:b/>
              </w:rPr>
            </w:pPr>
            <w:r>
              <w:rPr>
                <w:b/>
              </w:rPr>
              <w:t>But</w:t>
            </w:r>
          </w:p>
        </w:tc>
        <w:tc>
          <w:tcPr>
            <w:tcW w:w="424"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jc w:val="center"/>
              <w:rPr>
                <w:rFonts w:cs="Calibri"/>
                <w:b/>
              </w:rPr>
            </w:pPr>
          </w:p>
          <w:p w:rsidR="00B248CA" w:rsidRPr="00F71B89" w:rsidRDefault="00B248CA" w:rsidP="00715E70">
            <w:pPr>
              <w:jc w:val="center"/>
              <w:rPr>
                <w:rFonts w:cs="Calibri"/>
              </w:rPr>
            </w:pPr>
            <w:r>
              <w:rPr>
                <w:b/>
              </w:rPr>
              <w:t>Risque</w:t>
            </w:r>
          </w:p>
        </w:tc>
        <w:tc>
          <w:tcPr>
            <w:tcW w:w="847"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spacing w:line="200" w:lineRule="exact"/>
              <w:jc w:val="center"/>
              <w:rPr>
                <w:rFonts w:cs="Calibri"/>
              </w:rPr>
            </w:pPr>
          </w:p>
          <w:p w:rsidR="00B248CA" w:rsidRPr="00F71B89" w:rsidRDefault="00B248CA" w:rsidP="00715E70">
            <w:pPr>
              <w:spacing w:line="200" w:lineRule="exact"/>
              <w:jc w:val="center"/>
              <w:rPr>
                <w:rFonts w:cs="Calibri"/>
                <w:b/>
              </w:rPr>
            </w:pPr>
          </w:p>
          <w:p w:rsidR="00B248CA" w:rsidRPr="00F71B89" w:rsidRDefault="00B248CA" w:rsidP="00715E70">
            <w:pPr>
              <w:spacing w:line="200" w:lineRule="exact"/>
              <w:jc w:val="center"/>
              <w:rPr>
                <w:rFonts w:cs="Calibri"/>
              </w:rPr>
            </w:pPr>
            <w:r>
              <w:rPr>
                <w:b/>
              </w:rPr>
              <w:t>Indicateur</w:t>
            </w:r>
          </w:p>
          <w:p w:rsidR="00B248CA" w:rsidRPr="00F71B89" w:rsidRDefault="00B248CA" w:rsidP="00715E70">
            <w:pPr>
              <w:rPr>
                <w:rFonts w:cs="Calibri"/>
              </w:rPr>
            </w:pPr>
          </w:p>
        </w:tc>
        <w:tc>
          <w:tcPr>
            <w:tcW w:w="817"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jc w:val="center"/>
              <w:rPr>
                <w:rFonts w:cs="Calibri"/>
                <w:b/>
              </w:rPr>
            </w:pPr>
          </w:p>
          <w:p w:rsidR="00B248CA" w:rsidRPr="00F71B89" w:rsidRDefault="00B248CA" w:rsidP="00715E70">
            <w:pPr>
              <w:jc w:val="center"/>
              <w:rPr>
                <w:rFonts w:cs="Calibri"/>
                <w:b/>
              </w:rPr>
            </w:pPr>
            <w:r>
              <w:rPr>
                <w:b/>
              </w:rPr>
              <w:t>Non-conformité constatée</w:t>
            </w:r>
          </w:p>
        </w:tc>
        <w:tc>
          <w:tcPr>
            <w:tcW w:w="671"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jc w:val="center"/>
              <w:rPr>
                <w:rFonts w:cs="Calibri"/>
                <w:b/>
              </w:rPr>
            </w:pPr>
          </w:p>
          <w:p w:rsidR="00B248CA" w:rsidRPr="00F71B89" w:rsidRDefault="00B248CA" w:rsidP="00715E70">
            <w:pPr>
              <w:jc w:val="center"/>
              <w:rPr>
                <w:rFonts w:cs="Calibri"/>
              </w:rPr>
            </w:pPr>
            <w:r>
              <w:rPr>
                <w:b/>
              </w:rPr>
              <w:t>Exigence de conformité</w:t>
            </w:r>
          </w:p>
        </w:tc>
      </w:tr>
      <w:tr w:rsidR="00B248CA" w:rsidRPr="0081122E" w:rsidTr="00715E70">
        <w:trPr>
          <w:trHeight w:hRule="exact" w:val="6378"/>
        </w:trPr>
        <w:tc>
          <w:tcPr>
            <w:tcW w:w="1236"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pStyle w:val="TableParagraph"/>
              <w:spacing w:before="7" w:line="190" w:lineRule="exact"/>
              <w:rPr>
                <w:rFonts w:cs="Calibri"/>
                <w:sz w:val="20"/>
                <w:szCs w:val="20"/>
              </w:rPr>
            </w:pPr>
          </w:p>
          <w:p w:rsidR="00B248CA" w:rsidRDefault="00B248CA" w:rsidP="00715E70">
            <w:pPr>
              <w:pStyle w:val="TableParagraph"/>
              <w:spacing w:before="7" w:line="190" w:lineRule="exact"/>
              <w:rPr>
                <w:rFonts w:cs="Calibri"/>
                <w:sz w:val="20"/>
                <w:szCs w:val="20"/>
              </w:rPr>
            </w:pPr>
            <w:r>
              <w:rPr>
                <w:sz w:val="20"/>
              </w:rPr>
              <w:t>98. Surveillance; résolution des problèmes</w:t>
            </w:r>
          </w:p>
          <w:p w:rsidR="00B248CA" w:rsidRPr="0081122E" w:rsidRDefault="00B248CA" w:rsidP="00715E70">
            <w:pPr>
              <w:pStyle w:val="TableParagraph"/>
              <w:spacing w:before="7" w:line="190" w:lineRule="exact"/>
              <w:rPr>
                <w:rFonts w:cs="Calibri"/>
                <w:sz w:val="20"/>
                <w:szCs w:val="20"/>
              </w:rPr>
            </w:pPr>
          </w:p>
          <w:p w:rsidR="00B248CA" w:rsidRDefault="00B248CA" w:rsidP="00715E70">
            <w:pPr>
              <w:pStyle w:val="TableParagraph"/>
              <w:spacing w:line="200" w:lineRule="exact"/>
              <w:ind w:left="35" w:right="38"/>
              <w:rPr>
                <w:rFonts w:cs="Calibri"/>
                <w:sz w:val="20"/>
                <w:szCs w:val="20"/>
              </w:rPr>
            </w:pPr>
            <w:r>
              <w:rPr>
                <w:sz w:val="20"/>
              </w:rPr>
              <w:t xml:space="preserve">Au minimum, les organismes de service doivent aider à régler tout problème lié au placement. </w:t>
            </w:r>
          </w:p>
          <w:p w:rsidR="00B248CA" w:rsidRDefault="00B248CA" w:rsidP="00715E70">
            <w:pPr>
              <w:pStyle w:val="TableParagraph"/>
              <w:spacing w:line="200" w:lineRule="exact"/>
              <w:ind w:left="35" w:right="38"/>
              <w:rPr>
                <w:rFonts w:cs="Calibri"/>
                <w:sz w:val="20"/>
                <w:szCs w:val="20"/>
              </w:rPr>
            </w:pPr>
          </w:p>
          <w:p w:rsidR="00B248CA" w:rsidRPr="0081122E" w:rsidRDefault="00B248CA" w:rsidP="00715E70">
            <w:pPr>
              <w:pStyle w:val="TableParagraph"/>
              <w:spacing w:line="200" w:lineRule="exact"/>
              <w:ind w:left="35" w:right="38"/>
              <w:rPr>
                <w:rFonts w:cs="Calibri"/>
                <w:sz w:val="20"/>
                <w:szCs w:val="20"/>
              </w:rPr>
            </w:pPr>
            <w:r>
              <w:rPr>
                <w:sz w:val="20"/>
              </w:rPr>
              <w:t>Directives en matière de politique s’appliquant aux organismes de service en ce qui a trait au Programme de placement en famille hôte 3.2</w:t>
            </w:r>
          </w:p>
        </w:tc>
        <w:tc>
          <w:tcPr>
            <w:tcW w:w="1005"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F034BE" w:rsidRDefault="00B248CA" w:rsidP="00715E70">
            <w:pPr>
              <w:rPr>
                <w:rFonts w:cs="Calibri"/>
                <w:sz w:val="20"/>
                <w:szCs w:val="20"/>
              </w:rPr>
            </w:pPr>
            <w:r>
              <w:rPr>
                <w:sz w:val="20"/>
              </w:rPr>
              <w:t>Pour épauler la personne placée et la famille hôte, l’organisme de service doit aider à régler tout problème lié au placement.</w:t>
            </w:r>
          </w:p>
        </w:tc>
        <w:tc>
          <w:tcPr>
            <w:tcW w:w="42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r>
              <w:softHyphen/>
            </w:r>
          </w:p>
          <w:p w:rsidR="00B248CA" w:rsidRPr="0081122E" w:rsidRDefault="00B248CA" w:rsidP="00715E70">
            <w:pPr>
              <w:jc w:val="center"/>
              <w:rPr>
                <w:rFonts w:cs="Calibri"/>
                <w:sz w:val="20"/>
                <w:szCs w:val="20"/>
              </w:rPr>
            </w:pPr>
            <w:r>
              <w:rPr>
                <w:sz w:val="20"/>
              </w:rPr>
              <w:t>MODÉRÉ</w:t>
            </w:r>
          </w:p>
        </w:tc>
        <w:tc>
          <w:tcPr>
            <w:tcW w:w="847"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B24121" w:rsidRDefault="00B248CA" w:rsidP="00715E70">
            <w:pPr>
              <w:rPr>
                <w:rFonts w:cs="Calibri"/>
                <w:sz w:val="20"/>
                <w:szCs w:val="20"/>
              </w:rPr>
            </w:pPr>
            <w:r>
              <w:rPr>
                <w:sz w:val="20"/>
              </w:rPr>
              <w:t>Comptes rendus des rencontres, dossiers trimestriels; relevés de communication.</w:t>
            </w:r>
          </w:p>
        </w:tc>
        <w:tc>
          <w:tcPr>
            <w:tcW w:w="817"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 xml:space="preserve">Aucune preuve ne permet de confirmer que l’organisme de service a aidé à régler tout problème lié au placement. </w:t>
            </w:r>
          </w:p>
        </w:tc>
        <w:tc>
          <w:tcPr>
            <w:tcW w:w="671"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Une lettre ou un document confirmant que la mesure corrective a été menée à bien.</w:t>
            </w:r>
          </w:p>
          <w:p w:rsidR="00B248CA" w:rsidRPr="0081122E" w:rsidRDefault="00B248CA" w:rsidP="00715E70">
            <w:pPr>
              <w:rPr>
                <w:rFonts w:cs="Calibri"/>
                <w:sz w:val="20"/>
                <w:szCs w:val="20"/>
              </w:rPr>
            </w:pPr>
          </w:p>
        </w:tc>
      </w:tr>
      <w:tr w:rsidR="00B248CA" w:rsidRPr="0081122E" w:rsidTr="00715E70">
        <w:trPr>
          <w:trHeight w:hRule="exact" w:val="6324"/>
        </w:trPr>
        <w:tc>
          <w:tcPr>
            <w:tcW w:w="1236"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pStyle w:val="TableParagraph"/>
              <w:spacing w:before="48"/>
              <w:ind w:left="35"/>
              <w:rPr>
                <w:rFonts w:cs="Calibri"/>
                <w:sz w:val="20"/>
                <w:szCs w:val="20"/>
              </w:rPr>
            </w:pPr>
          </w:p>
          <w:p w:rsidR="00B248CA" w:rsidRPr="0081122E" w:rsidRDefault="00B248CA" w:rsidP="00715E70">
            <w:pPr>
              <w:pStyle w:val="TableParagraph"/>
              <w:spacing w:before="48"/>
              <w:ind w:left="35"/>
              <w:rPr>
                <w:rFonts w:cs="Calibri"/>
                <w:sz w:val="20"/>
                <w:szCs w:val="20"/>
              </w:rPr>
            </w:pPr>
            <w:r>
              <w:rPr>
                <w:sz w:val="20"/>
              </w:rPr>
              <w:t>99. Surveillance; signalement des incidents graves</w:t>
            </w:r>
          </w:p>
          <w:p w:rsidR="00B248CA" w:rsidRPr="0081122E" w:rsidRDefault="00B248CA" w:rsidP="00715E70">
            <w:pPr>
              <w:pStyle w:val="TableParagraph"/>
              <w:spacing w:before="7" w:line="190" w:lineRule="exact"/>
              <w:rPr>
                <w:rFonts w:cs="Calibri"/>
                <w:sz w:val="20"/>
                <w:szCs w:val="20"/>
              </w:rPr>
            </w:pPr>
          </w:p>
          <w:p w:rsidR="00B248CA" w:rsidRDefault="00B248CA" w:rsidP="00715E70">
            <w:pPr>
              <w:pStyle w:val="TableParagraph"/>
              <w:spacing w:line="200" w:lineRule="exact"/>
              <w:ind w:left="35" w:right="38"/>
              <w:rPr>
                <w:rFonts w:cs="Calibri"/>
                <w:sz w:val="20"/>
                <w:szCs w:val="20"/>
              </w:rPr>
            </w:pPr>
            <w:r>
              <w:rPr>
                <w:sz w:val="20"/>
              </w:rPr>
              <w:t xml:space="preserve">Au minimum, les organismes de service doivent signaler les incidents graves au ministère, conformément aux procédures de signalement des incidents graves. </w:t>
            </w:r>
          </w:p>
          <w:p w:rsidR="00B248CA" w:rsidRDefault="00B248CA" w:rsidP="00715E70">
            <w:pPr>
              <w:pStyle w:val="TableParagraph"/>
              <w:spacing w:line="200" w:lineRule="exact"/>
              <w:ind w:left="35" w:right="38"/>
              <w:rPr>
                <w:rFonts w:cs="Calibri"/>
                <w:sz w:val="20"/>
                <w:szCs w:val="20"/>
              </w:rPr>
            </w:pPr>
          </w:p>
          <w:p w:rsidR="00B248CA" w:rsidRPr="0081122E" w:rsidRDefault="00B248CA" w:rsidP="00715E70">
            <w:pPr>
              <w:pStyle w:val="TableParagraph"/>
              <w:spacing w:line="200" w:lineRule="exact"/>
              <w:ind w:left="35" w:right="38"/>
              <w:rPr>
                <w:rFonts w:cs="Calibri"/>
                <w:sz w:val="20"/>
                <w:szCs w:val="20"/>
              </w:rPr>
            </w:pPr>
            <w:r>
              <w:rPr>
                <w:sz w:val="20"/>
              </w:rPr>
              <w:t>Directives en matière de politique s’appliquant aux organismes de service en ce qui a trait au Programme de placement en famille hôte 3.2</w:t>
            </w:r>
          </w:p>
        </w:tc>
        <w:tc>
          <w:tcPr>
            <w:tcW w:w="1005"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622BD4">
            <w:pPr>
              <w:rPr>
                <w:rFonts w:cs="Calibri"/>
                <w:sz w:val="20"/>
                <w:szCs w:val="20"/>
              </w:rPr>
            </w:pPr>
            <w:r>
              <w:rPr>
                <w:sz w:val="20"/>
              </w:rPr>
              <w:t xml:space="preserve">Le but est de s’assurer que l’organisme de service présente au ministère des signalements d’incidents graves ou des rapports spéciaux d’incidents graves, afin de le tenir informé de tout problème </w:t>
            </w:r>
            <w:r w:rsidR="00622BD4">
              <w:rPr>
                <w:sz w:val="20"/>
              </w:rPr>
              <w:t>important</w:t>
            </w:r>
            <w:r>
              <w:rPr>
                <w:sz w:val="20"/>
              </w:rPr>
              <w:t xml:space="preserve">. </w:t>
            </w:r>
          </w:p>
        </w:tc>
        <w:tc>
          <w:tcPr>
            <w:tcW w:w="42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jc w:val="center"/>
              <w:rPr>
                <w:rFonts w:cs="Calibri"/>
                <w:sz w:val="20"/>
                <w:szCs w:val="20"/>
              </w:rPr>
            </w:pPr>
            <w:r>
              <w:rPr>
                <w:sz w:val="20"/>
              </w:rPr>
              <w:t>ÉLEVÉ</w:t>
            </w:r>
          </w:p>
        </w:tc>
        <w:tc>
          <w:tcPr>
            <w:tcW w:w="847"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rPr>
                <w:rFonts w:cs="Calibri"/>
                <w:sz w:val="20"/>
                <w:szCs w:val="20"/>
              </w:rPr>
            </w:pPr>
            <w:r>
              <w:rPr>
                <w:sz w:val="20"/>
              </w:rPr>
              <w:t>Signalements d’incidents graves, rapports spéciaux d’incidents graves; dossiers individuels c.-à-d. signalements d’incidents.</w:t>
            </w:r>
          </w:p>
        </w:tc>
        <w:tc>
          <w:tcPr>
            <w:tcW w:w="817"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Aucune preuve ne permet de confirmer que l’organisme de service a signalé des incidents graves au ministère, conformément aux procédures de signalement des incidents graves.</w:t>
            </w:r>
          </w:p>
        </w:tc>
        <w:tc>
          <w:tcPr>
            <w:tcW w:w="671"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rPr>
                <w:rFonts w:cs="Calibri"/>
                <w:sz w:val="20"/>
                <w:szCs w:val="20"/>
              </w:rPr>
            </w:pPr>
            <w:r>
              <w:rPr>
                <w:sz w:val="20"/>
              </w:rPr>
              <w:t>Il est nécessaire, dans les 24 heures qui suivent la réception de la lettre de non-conformité, de fournir une réponse et/ou de justifier les actions réalisées en décrivant les mesures correctives et les délais de résolution du problème. Il convient d’envoyer, dans les 10 jours ouvrables, une lettre ou un document confirmant que la mesure corrective a été menée à bien.</w:t>
            </w:r>
          </w:p>
        </w:tc>
      </w:tr>
      <w:tr w:rsidR="00B248CA" w:rsidRPr="0081122E" w:rsidTr="00715E70">
        <w:trPr>
          <w:trHeight w:hRule="exact" w:val="6684"/>
        </w:trPr>
        <w:tc>
          <w:tcPr>
            <w:tcW w:w="1236"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rPr>
                <w:sz w:val="20"/>
                <w:szCs w:val="20"/>
              </w:rPr>
            </w:pPr>
          </w:p>
          <w:p w:rsidR="00B248CA" w:rsidRDefault="00B248CA" w:rsidP="00715E70">
            <w:pPr>
              <w:pStyle w:val="TableParagraph"/>
              <w:spacing w:before="7" w:line="190" w:lineRule="exact"/>
              <w:rPr>
                <w:sz w:val="20"/>
                <w:szCs w:val="20"/>
              </w:rPr>
            </w:pPr>
            <w:r>
              <w:rPr>
                <w:sz w:val="20"/>
              </w:rPr>
              <w:t>100. Surveillance; registres écrits</w:t>
            </w:r>
          </w:p>
          <w:p w:rsidR="00B248CA" w:rsidRPr="0081122E" w:rsidRDefault="00B248CA" w:rsidP="00715E70">
            <w:pPr>
              <w:pStyle w:val="TableParagraph"/>
              <w:spacing w:before="7" w:line="190" w:lineRule="exact"/>
              <w:rPr>
                <w:rFonts w:cs="Calibri"/>
                <w:sz w:val="20"/>
                <w:szCs w:val="20"/>
              </w:rPr>
            </w:pPr>
          </w:p>
          <w:p w:rsidR="00B248CA" w:rsidRDefault="00B248CA" w:rsidP="00715E70">
            <w:pPr>
              <w:pStyle w:val="TableParagraph"/>
              <w:spacing w:line="200" w:lineRule="exact"/>
              <w:ind w:right="38"/>
              <w:rPr>
                <w:rFonts w:cs="Calibri"/>
                <w:sz w:val="20"/>
                <w:szCs w:val="20"/>
              </w:rPr>
            </w:pPr>
            <w:r>
              <w:rPr>
                <w:sz w:val="20"/>
              </w:rPr>
              <w:t xml:space="preserve">Au minimum, les organismes de service doivent documenter et consigner par écrit toutes les visites et inspections effectuées au sein de la résidence de la famille hôte et les rencontres avec les fournisseurs de soins de la famille hôte et les personnes placées. </w:t>
            </w:r>
          </w:p>
          <w:p w:rsidR="00B248CA" w:rsidRDefault="00B248CA" w:rsidP="00715E70">
            <w:pPr>
              <w:pStyle w:val="TableParagraph"/>
              <w:spacing w:line="200" w:lineRule="exact"/>
              <w:ind w:left="35" w:right="38"/>
              <w:rPr>
                <w:rFonts w:cs="Calibri"/>
                <w:sz w:val="20"/>
                <w:szCs w:val="20"/>
              </w:rPr>
            </w:pPr>
          </w:p>
          <w:p w:rsidR="00B248CA" w:rsidRPr="0081122E" w:rsidRDefault="00B248CA" w:rsidP="00715E70">
            <w:pPr>
              <w:pStyle w:val="TableParagraph"/>
              <w:spacing w:line="200" w:lineRule="exact"/>
              <w:ind w:left="35" w:right="44"/>
              <w:rPr>
                <w:rFonts w:cs="Calibri"/>
                <w:sz w:val="20"/>
                <w:szCs w:val="20"/>
              </w:rPr>
            </w:pPr>
            <w:r>
              <w:rPr>
                <w:sz w:val="20"/>
              </w:rPr>
              <w:t>Directives en matière de politique s’appliquant aux organismes de service en ce qui a trait au Programme de placement en famille hôte 3.2</w:t>
            </w:r>
          </w:p>
        </w:tc>
        <w:tc>
          <w:tcPr>
            <w:tcW w:w="1005"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Pour promouvoir la transparence et tenir un registre des événements, les organismes de service doivent documenter et consigner par écrit les éléments suivants :</w:t>
            </w:r>
          </w:p>
          <w:p w:rsidR="00B248CA" w:rsidRPr="00735AC4" w:rsidRDefault="00B248CA" w:rsidP="00715E70">
            <w:pPr>
              <w:pStyle w:val="ListParagraph"/>
              <w:numPr>
                <w:ilvl w:val="0"/>
                <w:numId w:val="13"/>
              </w:numPr>
              <w:rPr>
                <w:rFonts w:cs="Calibri"/>
                <w:sz w:val="20"/>
                <w:szCs w:val="20"/>
              </w:rPr>
            </w:pPr>
            <w:r>
              <w:rPr>
                <w:sz w:val="20"/>
              </w:rPr>
              <w:t>toutes les visites et inspections effectuées au sein de la résidence de la famille hôte;</w:t>
            </w:r>
          </w:p>
          <w:p w:rsidR="00B248CA" w:rsidRDefault="00B248CA" w:rsidP="00622BD4">
            <w:pPr>
              <w:pStyle w:val="ListParagraph"/>
              <w:numPr>
                <w:ilvl w:val="0"/>
                <w:numId w:val="13"/>
              </w:numPr>
              <w:rPr>
                <w:rFonts w:cs="Calibri"/>
                <w:sz w:val="20"/>
                <w:szCs w:val="20"/>
              </w:rPr>
            </w:pPr>
            <w:r>
              <w:rPr>
                <w:sz w:val="20"/>
              </w:rPr>
              <w:t>les rencontres avec les fournisseurs de soins de la famille hôte et les personnes placées.</w:t>
            </w:r>
          </w:p>
        </w:tc>
        <w:tc>
          <w:tcPr>
            <w:tcW w:w="42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jc w:val="center"/>
              <w:rPr>
                <w:rFonts w:cs="Calibri"/>
                <w:sz w:val="20"/>
                <w:szCs w:val="20"/>
              </w:rPr>
            </w:pPr>
            <w:r>
              <w:rPr>
                <w:sz w:val="20"/>
              </w:rPr>
              <w:t>MODÉRÉ</w:t>
            </w:r>
          </w:p>
        </w:tc>
        <w:tc>
          <w:tcPr>
            <w:tcW w:w="847"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B24121" w:rsidRDefault="00B248CA" w:rsidP="00715E70">
            <w:pPr>
              <w:rPr>
                <w:rFonts w:cs="Calibri"/>
                <w:sz w:val="20"/>
                <w:szCs w:val="20"/>
              </w:rPr>
            </w:pPr>
            <w:r>
              <w:rPr>
                <w:sz w:val="20"/>
              </w:rPr>
              <w:t>Comptes rendus des rencontres, dossiers trimestriels; relevés de communication; registres des visites.</w:t>
            </w:r>
          </w:p>
        </w:tc>
        <w:tc>
          <w:tcPr>
            <w:tcW w:w="817"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 xml:space="preserve">Aucune preuve ne permet de confirmer que l’organisme de service a documenté et consigné par écrit toutes les visites et inspections effectuées au sein de la résidence de la famille hôte et les rencontres avec les fournisseurs de soins de la famille hôte et les personnes placées. </w:t>
            </w:r>
          </w:p>
        </w:tc>
        <w:tc>
          <w:tcPr>
            <w:tcW w:w="671"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Une lettre ou un document confirmant que la mesure corrective a été menée à bien.</w:t>
            </w:r>
          </w:p>
          <w:p w:rsidR="00B248CA" w:rsidRDefault="00B248CA" w:rsidP="00715E70">
            <w:pPr>
              <w:rPr>
                <w:rFonts w:cs="Calibri"/>
                <w:sz w:val="20"/>
                <w:szCs w:val="20"/>
              </w:rPr>
            </w:pPr>
          </w:p>
          <w:p w:rsidR="00B248CA" w:rsidRPr="0081122E" w:rsidRDefault="00B248CA" w:rsidP="00715E70">
            <w:pPr>
              <w:rPr>
                <w:rFonts w:cs="Calibri"/>
                <w:sz w:val="20"/>
                <w:szCs w:val="20"/>
              </w:rPr>
            </w:pPr>
          </w:p>
        </w:tc>
      </w:tr>
    </w:tbl>
    <w:p w:rsidR="00B248CA" w:rsidRPr="0081122E" w:rsidRDefault="00B248CA" w:rsidP="00B248CA">
      <w:pPr>
        <w:rPr>
          <w:rFonts w:cs="Calibri"/>
          <w:sz w:val="20"/>
          <w:szCs w:val="20"/>
        </w:rPr>
        <w:sectPr w:rsidR="00B248CA" w:rsidRPr="0081122E" w:rsidSect="0049355F">
          <w:pgSz w:w="15840" w:h="12240" w:orient="landscape" w:code="1"/>
          <w:pgMar w:top="2200" w:right="480" w:bottom="420" w:left="500" w:header="600" w:footer="230" w:gutter="0"/>
          <w:cols w:space="720"/>
          <w:docGrid w:linePitch="299"/>
        </w:sectPr>
      </w:pPr>
    </w:p>
    <w:tbl>
      <w:tblPr>
        <w:tblW w:w="5000" w:type="pct"/>
        <w:tblCellMar>
          <w:left w:w="0" w:type="dxa"/>
          <w:right w:w="0" w:type="dxa"/>
        </w:tblCellMar>
        <w:tblLook w:val="01E0" w:firstRow="1" w:lastRow="1" w:firstColumn="1" w:lastColumn="1" w:noHBand="0" w:noVBand="0"/>
      </w:tblPr>
      <w:tblGrid>
        <w:gridCol w:w="3675"/>
        <w:gridCol w:w="2900"/>
        <w:gridCol w:w="1439"/>
        <w:gridCol w:w="2430"/>
        <w:gridCol w:w="2430"/>
        <w:gridCol w:w="1996"/>
      </w:tblGrid>
      <w:tr w:rsidR="00B248CA" w:rsidRPr="00F71B89" w:rsidTr="00715E70">
        <w:trPr>
          <w:trHeight w:val="960"/>
          <w:tblHeader/>
        </w:trPr>
        <w:tc>
          <w:tcPr>
            <w:tcW w:w="1236"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spacing w:before="8" w:line="180" w:lineRule="exact"/>
              <w:rPr>
                <w:rFonts w:cs="Calibri"/>
              </w:rPr>
            </w:pPr>
          </w:p>
          <w:p w:rsidR="00B248CA" w:rsidRPr="00F71B89" w:rsidRDefault="00B248CA" w:rsidP="00715E70">
            <w:pPr>
              <w:pStyle w:val="TableParagraph"/>
              <w:spacing w:line="200" w:lineRule="exact"/>
              <w:rPr>
                <w:rFonts w:cs="Calibri"/>
              </w:rPr>
            </w:pPr>
          </w:p>
          <w:p w:rsidR="00B248CA" w:rsidRPr="00F71B89" w:rsidRDefault="00B248CA" w:rsidP="00715E70">
            <w:pPr>
              <w:pStyle w:val="TableParagraph"/>
              <w:jc w:val="center"/>
              <w:rPr>
                <w:rFonts w:cs="Calibri"/>
                <w:b/>
              </w:rPr>
            </w:pPr>
            <w:r>
              <w:rPr>
                <w:b/>
              </w:rPr>
              <w:t>Dossiers et documents</w:t>
            </w:r>
          </w:p>
          <w:p w:rsidR="00B248CA" w:rsidRPr="00F71B89" w:rsidRDefault="00B248CA" w:rsidP="00715E70">
            <w:pPr>
              <w:pStyle w:val="TableParagraph"/>
              <w:jc w:val="center"/>
              <w:rPr>
                <w:rFonts w:cs="Calibri"/>
              </w:rPr>
            </w:pPr>
          </w:p>
        </w:tc>
        <w:tc>
          <w:tcPr>
            <w:tcW w:w="975"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jc w:val="center"/>
              <w:rPr>
                <w:rFonts w:cs="Calibri"/>
                <w:b/>
              </w:rPr>
            </w:pPr>
          </w:p>
          <w:p w:rsidR="00B248CA" w:rsidRPr="00F71B89" w:rsidRDefault="00B248CA" w:rsidP="00715E70">
            <w:pPr>
              <w:pStyle w:val="TableParagraph"/>
              <w:jc w:val="center"/>
              <w:rPr>
                <w:rFonts w:cs="Calibri"/>
                <w:b/>
              </w:rPr>
            </w:pPr>
            <w:r>
              <w:rPr>
                <w:b/>
              </w:rPr>
              <w:t>But</w:t>
            </w:r>
          </w:p>
        </w:tc>
        <w:tc>
          <w:tcPr>
            <w:tcW w:w="484"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pStyle w:val="TableParagraph"/>
              <w:jc w:val="center"/>
              <w:rPr>
                <w:rFonts w:cs="Calibri"/>
                <w:b/>
              </w:rPr>
            </w:pPr>
          </w:p>
          <w:p w:rsidR="00B248CA" w:rsidRPr="00F71B89" w:rsidRDefault="00B248CA" w:rsidP="00715E70">
            <w:pPr>
              <w:jc w:val="center"/>
              <w:rPr>
                <w:rFonts w:cs="Calibri"/>
              </w:rPr>
            </w:pPr>
            <w:r>
              <w:rPr>
                <w:b/>
              </w:rPr>
              <w:t>Risque</w:t>
            </w:r>
          </w:p>
        </w:tc>
        <w:tc>
          <w:tcPr>
            <w:tcW w:w="817"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spacing w:line="200" w:lineRule="exact"/>
              <w:jc w:val="center"/>
              <w:rPr>
                <w:rFonts w:cs="Calibri"/>
              </w:rPr>
            </w:pPr>
          </w:p>
          <w:p w:rsidR="00B248CA" w:rsidRPr="00F71B89" w:rsidRDefault="00B248CA" w:rsidP="00715E70">
            <w:pPr>
              <w:spacing w:line="200" w:lineRule="exact"/>
              <w:jc w:val="center"/>
              <w:rPr>
                <w:rFonts w:cs="Calibri"/>
                <w:b/>
              </w:rPr>
            </w:pPr>
          </w:p>
          <w:p w:rsidR="00B248CA" w:rsidRPr="00F71B89" w:rsidRDefault="00B248CA" w:rsidP="00715E70">
            <w:pPr>
              <w:spacing w:line="200" w:lineRule="exact"/>
              <w:jc w:val="center"/>
              <w:rPr>
                <w:rFonts w:cs="Calibri"/>
              </w:rPr>
            </w:pPr>
            <w:r>
              <w:rPr>
                <w:b/>
              </w:rPr>
              <w:t>Indicateur</w:t>
            </w:r>
          </w:p>
          <w:p w:rsidR="00B248CA" w:rsidRPr="00F71B89" w:rsidRDefault="00B248CA" w:rsidP="00715E70">
            <w:pPr>
              <w:rPr>
                <w:rFonts w:cs="Calibri"/>
              </w:rPr>
            </w:pPr>
          </w:p>
        </w:tc>
        <w:tc>
          <w:tcPr>
            <w:tcW w:w="817"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jc w:val="center"/>
              <w:rPr>
                <w:rFonts w:cs="Calibri"/>
                <w:b/>
              </w:rPr>
            </w:pPr>
          </w:p>
          <w:p w:rsidR="00B248CA" w:rsidRPr="00F71B89" w:rsidRDefault="00B248CA" w:rsidP="00715E70">
            <w:pPr>
              <w:jc w:val="center"/>
              <w:rPr>
                <w:rFonts w:cs="Calibri"/>
                <w:b/>
              </w:rPr>
            </w:pPr>
            <w:r>
              <w:rPr>
                <w:b/>
              </w:rPr>
              <w:t>Non-conformité constatée</w:t>
            </w:r>
          </w:p>
        </w:tc>
        <w:tc>
          <w:tcPr>
            <w:tcW w:w="671" w:type="pct"/>
            <w:tcBorders>
              <w:top w:val="single" w:sz="4" w:space="0" w:color="000000"/>
              <w:left w:val="single" w:sz="4" w:space="0" w:color="000000"/>
              <w:right w:val="single" w:sz="4" w:space="0" w:color="000000"/>
            </w:tcBorders>
            <w:shd w:val="clear" w:color="auto" w:fill="BFBFBF"/>
          </w:tcPr>
          <w:p w:rsidR="00B248CA" w:rsidRPr="00F71B89" w:rsidRDefault="00B248CA" w:rsidP="00715E70">
            <w:pPr>
              <w:jc w:val="center"/>
              <w:rPr>
                <w:rFonts w:cs="Calibri"/>
                <w:b/>
              </w:rPr>
            </w:pPr>
          </w:p>
          <w:p w:rsidR="00B248CA" w:rsidRPr="00F71B89" w:rsidRDefault="00B248CA" w:rsidP="00715E70">
            <w:pPr>
              <w:jc w:val="center"/>
              <w:rPr>
                <w:rFonts w:cs="Calibri"/>
              </w:rPr>
            </w:pPr>
            <w:r>
              <w:rPr>
                <w:b/>
              </w:rPr>
              <w:t>Exigence de conformité</w:t>
            </w:r>
          </w:p>
        </w:tc>
      </w:tr>
      <w:tr w:rsidR="00B248CA" w:rsidRPr="0081122E" w:rsidTr="00715E70">
        <w:trPr>
          <w:trHeight w:hRule="exact" w:val="6378"/>
        </w:trPr>
        <w:tc>
          <w:tcPr>
            <w:tcW w:w="1236" w:type="pct"/>
            <w:tcBorders>
              <w:top w:val="single" w:sz="4" w:space="0" w:color="000000"/>
              <w:left w:val="single" w:sz="4" w:space="0" w:color="000000"/>
              <w:bottom w:val="single" w:sz="4" w:space="0" w:color="000000"/>
              <w:right w:val="single" w:sz="4" w:space="0" w:color="000000"/>
            </w:tcBorders>
            <w:shd w:val="clear" w:color="auto" w:fill="auto"/>
          </w:tcPr>
          <w:p w:rsidR="00B248CA" w:rsidRDefault="00B248CA" w:rsidP="00715E70">
            <w:pPr>
              <w:pStyle w:val="TableParagraph"/>
              <w:spacing w:before="48"/>
              <w:ind w:left="35"/>
              <w:rPr>
                <w:rFonts w:cs="Calibri"/>
                <w:sz w:val="20"/>
                <w:szCs w:val="20"/>
              </w:rPr>
            </w:pPr>
          </w:p>
          <w:p w:rsidR="00B248CA" w:rsidRPr="0081122E" w:rsidRDefault="00B248CA" w:rsidP="00715E70">
            <w:pPr>
              <w:pStyle w:val="TableParagraph"/>
              <w:spacing w:before="48"/>
              <w:ind w:left="35"/>
              <w:rPr>
                <w:rFonts w:cs="Calibri"/>
                <w:sz w:val="20"/>
                <w:szCs w:val="20"/>
              </w:rPr>
            </w:pPr>
            <w:r>
              <w:rPr>
                <w:sz w:val="20"/>
              </w:rPr>
              <w:t>101. Surveillance; résultats de l’inspection</w:t>
            </w:r>
          </w:p>
          <w:p w:rsidR="00B248CA" w:rsidRPr="0081122E" w:rsidRDefault="00B248CA" w:rsidP="00715E70">
            <w:pPr>
              <w:pStyle w:val="TableParagraph"/>
              <w:spacing w:before="7" w:line="190" w:lineRule="exact"/>
              <w:rPr>
                <w:rFonts w:cs="Calibri"/>
                <w:sz w:val="20"/>
                <w:szCs w:val="20"/>
              </w:rPr>
            </w:pPr>
          </w:p>
          <w:p w:rsidR="00B248CA" w:rsidRDefault="00B248CA" w:rsidP="00715E70">
            <w:pPr>
              <w:pStyle w:val="TableParagraph"/>
              <w:spacing w:line="200" w:lineRule="exact"/>
              <w:ind w:left="35" w:right="38"/>
              <w:rPr>
                <w:rFonts w:cs="Calibri"/>
                <w:sz w:val="20"/>
                <w:szCs w:val="20"/>
              </w:rPr>
            </w:pPr>
            <w:r>
              <w:rPr>
                <w:sz w:val="20"/>
              </w:rPr>
              <w:t xml:space="preserve">Au minimum, les organismes de service doivent fournir des copies des résultats de l’inspection à la famille hôte ainsi qu’à la personne placée et/ou à sa famille/son tuteur légal. </w:t>
            </w:r>
          </w:p>
          <w:p w:rsidR="00B248CA" w:rsidRDefault="00B248CA" w:rsidP="00715E70">
            <w:pPr>
              <w:pStyle w:val="TableParagraph"/>
              <w:spacing w:line="200" w:lineRule="exact"/>
              <w:ind w:left="35" w:right="38"/>
              <w:rPr>
                <w:rFonts w:cs="Calibri"/>
                <w:sz w:val="20"/>
                <w:szCs w:val="20"/>
              </w:rPr>
            </w:pPr>
          </w:p>
          <w:p w:rsidR="00B248CA" w:rsidRPr="0081122E" w:rsidRDefault="00B248CA" w:rsidP="00715E70">
            <w:pPr>
              <w:pStyle w:val="TableParagraph"/>
              <w:spacing w:line="200" w:lineRule="exact"/>
              <w:ind w:left="35" w:right="38"/>
              <w:rPr>
                <w:rFonts w:cs="Calibri"/>
                <w:sz w:val="20"/>
                <w:szCs w:val="20"/>
              </w:rPr>
            </w:pPr>
            <w:r>
              <w:rPr>
                <w:sz w:val="20"/>
              </w:rPr>
              <w:t>Directives en matière de politique s’appliquant aux organismes de service en ce qui a trait au Programme de placement en famille hôte 3.2</w:t>
            </w:r>
          </w:p>
        </w:tc>
        <w:tc>
          <w:tcPr>
            <w:tcW w:w="975"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Pour promouvoir la transparence et tenir un registre des événements, les organismes de service doivent fournir des copies des résultats de l’inspection :</w:t>
            </w:r>
          </w:p>
          <w:p w:rsidR="00B248CA" w:rsidRPr="00735AC4" w:rsidRDefault="00B248CA" w:rsidP="00715E70">
            <w:pPr>
              <w:pStyle w:val="ListParagraph"/>
              <w:numPr>
                <w:ilvl w:val="0"/>
                <w:numId w:val="14"/>
              </w:numPr>
              <w:rPr>
                <w:rFonts w:cs="Calibri"/>
                <w:sz w:val="20"/>
                <w:szCs w:val="20"/>
              </w:rPr>
            </w:pPr>
            <w:r>
              <w:rPr>
                <w:sz w:val="20"/>
              </w:rPr>
              <w:t>à la famille hôte;</w:t>
            </w:r>
          </w:p>
          <w:p w:rsidR="00B248CA" w:rsidRPr="00735AC4" w:rsidRDefault="00B248CA" w:rsidP="00715E70">
            <w:pPr>
              <w:pStyle w:val="ListParagraph"/>
              <w:numPr>
                <w:ilvl w:val="0"/>
                <w:numId w:val="14"/>
              </w:numPr>
              <w:rPr>
                <w:rFonts w:cs="Calibri"/>
                <w:sz w:val="20"/>
                <w:szCs w:val="20"/>
              </w:rPr>
            </w:pPr>
            <w:r>
              <w:rPr>
                <w:sz w:val="20"/>
              </w:rPr>
              <w:t>à la personne placée;</w:t>
            </w:r>
          </w:p>
          <w:p w:rsidR="00B248CA" w:rsidRPr="00735AC4" w:rsidRDefault="00B248CA" w:rsidP="00715E70">
            <w:pPr>
              <w:pStyle w:val="ListParagraph"/>
              <w:numPr>
                <w:ilvl w:val="0"/>
                <w:numId w:val="14"/>
              </w:numPr>
              <w:rPr>
                <w:rFonts w:cs="Calibri"/>
                <w:sz w:val="20"/>
                <w:szCs w:val="20"/>
              </w:rPr>
            </w:pPr>
            <w:r>
              <w:rPr>
                <w:sz w:val="20"/>
              </w:rPr>
              <w:t>ou à la famille/au tuteur légal de la personne placée.</w:t>
            </w:r>
          </w:p>
          <w:p w:rsidR="00B248CA" w:rsidRDefault="00B248CA" w:rsidP="00715E70">
            <w:pPr>
              <w:rPr>
                <w:rFonts w:cs="Calibri"/>
                <w:sz w:val="20"/>
                <w:szCs w:val="20"/>
              </w:rPr>
            </w:pPr>
          </w:p>
        </w:tc>
        <w:tc>
          <w:tcPr>
            <w:tcW w:w="484"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r>
              <w:softHyphen/>
            </w:r>
          </w:p>
          <w:p w:rsidR="00B248CA" w:rsidRPr="0081122E" w:rsidRDefault="00B248CA" w:rsidP="00715E70">
            <w:pPr>
              <w:jc w:val="center"/>
              <w:rPr>
                <w:rFonts w:cs="Calibri"/>
                <w:sz w:val="20"/>
                <w:szCs w:val="20"/>
              </w:rPr>
            </w:pPr>
            <w:r>
              <w:rPr>
                <w:sz w:val="20"/>
              </w:rPr>
              <w:t>MODÉRÉ</w:t>
            </w:r>
          </w:p>
        </w:tc>
        <w:tc>
          <w:tcPr>
            <w:tcW w:w="817"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Pr="0081122E" w:rsidRDefault="00B248CA" w:rsidP="00715E70">
            <w:pPr>
              <w:pStyle w:val="ListParagraph"/>
              <w:rPr>
                <w:rFonts w:cs="Calibri"/>
                <w:sz w:val="20"/>
                <w:szCs w:val="20"/>
              </w:rPr>
            </w:pPr>
            <w:r>
              <w:rPr>
                <w:sz w:val="20"/>
              </w:rPr>
              <w:t>Fiches de confirmation, conventions de service.</w:t>
            </w:r>
          </w:p>
        </w:tc>
        <w:tc>
          <w:tcPr>
            <w:tcW w:w="817"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 xml:space="preserve">Aucune preuve ne permet de confirmer que l’organisme de service a fourni des copies des résultats de l’inspection à la famille hôte ainsi qu’à la personne placée et/ou à sa famille/son tuteur légal. </w:t>
            </w:r>
          </w:p>
        </w:tc>
        <w:tc>
          <w:tcPr>
            <w:tcW w:w="671" w:type="pct"/>
            <w:tcBorders>
              <w:top w:val="single" w:sz="4" w:space="0" w:color="000000"/>
              <w:left w:val="single" w:sz="4" w:space="0" w:color="000000"/>
              <w:bottom w:val="single" w:sz="4" w:space="0" w:color="000000"/>
              <w:right w:val="single" w:sz="4" w:space="0" w:color="000000"/>
            </w:tcBorders>
          </w:tcPr>
          <w:p w:rsidR="00B248CA" w:rsidRDefault="00B248CA" w:rsidP="00715E70">
            <w:pPr>
              <w:rPr>
                <w:rFonts w:cs="Calibri"/>
                <w:sz w:val="20"/>
                <w:szCs w:val="20"/>
              </w:rPr>
            </w:pPr>
          </w:p>
          <w:p w:rsidR="00B248CA" w:rsidRDefault="00B248CA" w:rsidP="00715E70">
            <w:pPr>
              <w:rPr>
                <w:rFonts w:cs="Calibri"/>
                <w:sz w:val="20"/>
                <w:szCs w:val="20"/>
              </w:rPr>
            </w:pPr>
            <w:r>
              <w:rPr>
                <w:sz w:val="20"/>
              </w:rPr>
              <w:t>Une lettre ou un document confirmant que la mesure corrective a été menée à bien.</w:t>
            </w:r>
          </w:p>
          <w:p w:rsidR="00B248CA" w:rsidRPr="0081122E" w:rsidRDefault="00B248CA" w:rsidP="00715E70">
            <w:pPr>
              <w:rPr>
                <w:rFonts w:cs="Calibri"/>
                <w:sz w:val="20"/>
                <w:szCs w:val="20"/>
              </w:rPr>
            </w:pPr>
          </w:p>
        </w:tc>
      </w:tr>
    </w:tbl>
    <w:p w:rsidR="00186DAE" w:rsidRPr="00EB105A" w:rsidRDefault="00186DAE">
      <w:pPr>
        <w:rPr>
          <w:rFonts w:cs="Calibri"/>
          <w:sz w:val="20"/>
          <w:szCs w:val="20"/>
        </w:rPr>
        <w:sectPr w:rsidR="00186DAE" w:rsidRPr="00EB105A" w:rsidSect="004743DF">
          <w:pgSz w:w="15840" w:h="12240" w:orient="landscape" w:code="1"/>
          <w:pgMar w:top="2200" w:right="480" w:bottom="420" w:left="500" w:header="600" w:footer="230" w:gutter="0"/>
          <w:cols w:space="720"/>
          <w:docGrid w:linePitch="299"/>
        </w:sectPr>
      </w:pPr>
    </w:p>
    <w:p w:rsidR="001629CC" w:rsidRPr="00EB105A" w:rsidRDefault="001629CC" w:rsidP="00825341">
      <w:pPr>
        <w:spacing w:before="14" w:line="280" w:lineRule="exact"/>
        <w:rPr>
          <w:rFonts w:ascii="Times New Roman" w:hAnsi="Times New Roman"/>
          <w:sz w:val="20"/>
          <w:szCs w:val="20"/>
          <w:lang w:val="fr-FR"/>
        </w:rPr>
      </w:pPr>
    </w:p>
    <w:sectPr w:rsidR="001629CC" w:rsidRPr="00EB105A" w:rsidSect="004743DF">
      <w:pgSz w:w="15840" w:h="12240" w:orient="landscape" w:code="1"/>
      <w:pgMar w:top="2200" w:right="480" w:bottom="420" w:left="500" w:header="600" w:footer="23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0E4" w:rsidRDefault="00E630E4" w:rsidP="00666842">
      <w:r>
        <w:separator/>
      </w:r>
    </w:p>
    <w:p w:rsidR="00E630E4" w:rsidRDefault="00E630E4"/>
  </w:endnote>
  <w:endnote w:type="continuationSeparator" w:id="0">
    <w:p w:rsidR="00E630E4" w:rsidRDefault="00E630E4" w:rsidP="00666842">
      <w:r>
        <w:continuationSeparator/>
      </w:r>
    </w:p>
    <w:p w:rsidR="00E630E4" w:rsidRDefault="00E630E4"/>
  </w:endnote>
  <w:endnote w:type="continuationNotice" w:id="1">
    <w:p w:rsidR="00E630E4" w:rsidRDefault="00E630E4"/>
    <w:p w:rsidR="00E630E4" w:rsidRDefault="00E63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70" w:rsidRDefault="00715E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817495"/>
      <w:docPartObj>
        <w:docPartGallery w:val="Page Numbers (Bottom of Page)"/>
        <w:docPartUnique/>
      </w:docPartObj>
    </w:sdtPr>
    <w:sdtEndPr>
      <w:rPr>
        <w:noProof/>
      </w:rPr>
    </w:sdtEndPr>
    <w:sdtContent>
      <w:p w:rsidR="00715E70" w:rsidRDefault="005131B1">
        <w:pPr>
          <w:pStyle w:val="Footer"/>
          <w:jc w:val="right"/>
        </w:pPr>
        <w:r>
          <w:fldChar w:fldCharType="begin"/>
        </w:r>
        <w:r w:rsidR="00715E70">
          <w:instrText xml:space="preserve"> PAGE   \* MERGEFORMAT </w:instrText>
        </w:r>
        <w:r>
          <w:fldChar w:fldCharType="separate"/>
        </w:r>
        <w:r w:rsidR="00A43B41">
          <w:rPr>
            <w:noProof/>
          </w:rPr>
          <w:t>2</w:t>
        </w:r>
        <w:r>
          <w:rPr>
            <w:noProof/>
          </w:rPr>
          <w:fldChar w:fldCharType="end"/>
        </w:r>
      </w:p>
    </w:sdtContent>
  </w:sdt>
  <w:p w:rsidR="00715E70" w:rsidRDefault="00715E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70" w:rsidRDefault="00715E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0E4" w:rsidRDefault="00E630E4" w:rsidP="00666842">
      <w:r>
        <w:separator/>
      </w:r>
    </w:p>
    <w:p w:rsidR="00E630E4" w:rsidRDefault="00E630E4"/>
  </w:footnote>
  <w:footnote w:type="continuationSeparator" w:id="0">
    <w:p w:rsidR="00E630E4" w:rsidRDefault="00E630E4" w:rsidP="00666842">
      <w:r>
        <w:continuationSeparator/>
      </w:r>
    </w:p>
    <w:p w:rsidR="00E630E4" w:rsidRDefault="00E630E4"/>
  </w:footnote>
  <w:footnote w:type="continuationNotice" w:id="1">
    <w:p w:rsidR="00E630E4" w:rsidRDefault="00E630E4"/>
    <w:p w:rsidR="00E630E4" w:rsidRDefault="00E630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70" w:rsidRDefault="00715E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70" w:rsidRDefault="00715E70">
    <w:pPr>
      <w:spacing w:line="200" w:lineRule="exact"/>
      <w:rPr>
        <w:sz w:val="20"/>
        <w:szCs w:val="20"/>
      </w:rPr>
    </w:pPr>
    <w:r>
      <w:rPr>
        <w:noProof/>
        <w:lang w:val="en-CA" w:eastAsia="en-CA" w:bidi="ar-SA"/>
      </w:rPr>
      <w:drawing>
        <wp:anchor distT="0" distB="0" distL="114300" distR="114300" simplePos="0" relativeHeight="251660800" behindDoc="1" locked="0" layoutInCell="1" allowOverlap="1">
          <wp:simplePos x="0" y="0"/>
          <wp:positionH relativeFrom="column">
            <wp:posOffset>-256540</wp:posOffset>
          </wp:positionH>
          <wp:positionV relativeFrom="paragraph">
            <wp:posOffset>-309881</wp:posOffset>
          </wp:positionV>
          <wp:extent cx="1960880" cy="1201719"/>
          <wp:effectExtent l="0" t="0" r="1270" b="0"/>
          <wp:wrapNone/>
          <wp:docPr id="3" name="Picture 3" descr="http://barrieshelter.com/wp-content/uploads/2010/09/logo_mcs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rrieshelter.com/wp-content/uploads/2010/09/logo_mcss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420" cy="1212468"/>
                  </a:xfrm>
                  <a:prstGeom prst="rect">
                    <a:avLst/>
                  </a:prstGeom>
                  <a:noFill/>
                  <a:ln>
                    <a:noFill/>
                  </a:ln>
                </pic:spPr>
              </pic:pic>
            </a:graphicData>
          </a:graphic>
        </wp:anchor>
      </w:drawing>
    </w:r>
    <w:r w:rsidR="00A43B41">
      <w:rPr>
        <w:noProof/>
        <w:lang w:val="en-CA" w:eastAsia="en-CA" w:bidi="ar-SA"/>
      </w:rPr>
      <mc:AlternateContent>
        <mc:Choice Requires="wpg">
          <w:drawing>
            <wp:anchor distT="0" distB="0" distL="114300" distR="114300" simplePos="0" relativeHeight="251658752" behindDoc="1" locked="0" layoutInCell="1" allowOverlap="1">
              <wp:simplePos x="0" y="0"/>
              <wp:positionH relativeFrom="page">
                <wp:posOffset>2086610</wp:posOffset>
              </wp:positionH>
              <wp:positionV relativeFrom="page">
                <wp:posOffset>580390</wp:posOffset>
              </wp:positionV>
              <wp:extent cx="7626985" cy="518160"/>
              <wp:effectExtent l="0" t="0" r="12065" b="1524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6985" cy="518160"/>
                        <a:chOff x="3286" y="920"/>
                        <a:chExt cx="12954" cy="1280"/>
                      </a:xfrm>
                    </wpg:grpSpPr>
                    <wps:wsp>
                      <wps:cNvPr id="7" name="Freeform 4"/>
                      <wps:cNvSpPr>
                        <a:spLocks/>
                      </wps:cNvSpPr>
                      <wps:spPr bwMode="auto">
                        <a:xfrm>
                          <a:off x="3286" y="920"/>
                          <a:ext cx="12954" cy="1280"/>
                        </a:xfrm>
                        <a:custGeom>
                          <a:avLst/>
                          <a:gdLst>
                            <a:gd name="T0" fmla="+- 0 3286 3286"/>
                            <a:gd name="T1" fmla="*/ T0 w 12954"/>
                            <a:gd name="T2" fmla="+- 0 2200 920"/>
                            <a:gd name="T3" fmla="*/ 2200 h 1280"/>
                            <a:gd name="T4" fmla="+- 0 16240 3286"/>
                            <a:gd name="T5" fmla="*/ T4 w 12954"/>
                            <a:gd name="T6" fmla="+- 0 2200 920"/>
                            <a:gd name="T7" fmla="*/ 2200 h 1280"/>
                            <a:gd name="T8" fmla="+- 0 16240 3286"/>
                            <a:gd name="T9" fmla="*/ T8 w 12954"/>
                            <a:gd name="T10" fmla="+- 0 920 920"/>
                            <a:gd name="T11" fmla="*/ 920 h 1280"/>
                            <a:gd name="T12" fmla="+- 0 3286 3286"/>
                            <a:gd name="T13" fmla="*/ T12 w 12954"/>
                            <a:gd name="T14" fmla="+- 0 920 920"/>
                            <a:gd name="T15" fmla="*/ 920 h 1280"/>
                            <a:gd name="T16" fmla="+- 0 3286 3286"/>
                            <a:gd name="T17" fmla="*/ T16 w 12954"/>
                            <a:gd name="T18" fmla="+- 0 2200 920"/>
                            <a:gd name="T19" fmla="*/ 2200 h 1280"/>
                          </a:gdLst>
                          <a:ahLst/>
                          <a:cxnLst>
                            <a:cxn ang="0">
                              <a:pos x="T1" y="T3"/>
                            </a:cxn>
                            <a:cxn ang="0">
                              <a:pos x="T5" y="T7"/>
                            </a:cxn>
                            <a:cxn ang="0">
                              <a:pos x="T9" y="T11"/>
                            </a:cxn>
                            <a:cxn ang="0">
                              <a:pos x="T13" y="T15"/>
                            </a:cxn>
                            <a:cxn ang="0">
                              <a:pos x="T17" y="T19"/>
                            </a:cxn>
                          </a:cxnLst>
                          <a:rect l="0" t="0" r="r" b="b"/>
                          <a:pathLst>
                            <a:path w="12954" h="1280">
                              <a:moveTo>
                                <a:pt x="0" y="1280"/>
                              </a:moveTo>
                              <a:lnTo>
                                <a:pt x="12954" y="1280"/>
                              </a:lnTo>
                              <a:lnTo>
                                <a:pt x="12954" y="0"/>
                              </a:lnTo>
                              <a:lnTo>
                                <a:pt x="0" y="0"/>
                              </a:lnTo>
                              <a:lnTo>
                                <a:pt x="0" y="128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64.3pt;margin-top:45.7pt;width:600.55pt;height:40.8pt;z-index:-251657728;mso-position-horizontal-relative:page;mso-position-vertical-relative:page" coordorigin="3286,920" coordsize="12954,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B/4FQQAAHoLAAAOAAAAZHJzL2Uyb0RvYy54bWykVttu4zYQfS/QfyD02MKRKcuyLcRZLHwJ&#10;Cmy7C6z3A2iJuqCSqJKylbTov3c4FGXZibLB1g82ZR4Nz5zDIef+w1NZkDOXKhfV2qF3U4fwKhJx&#10;XqVr59thP1k6RDWsilkhKr52nrlyPjz8/NN9W4fcE5koYi4JBKlU2NZrJ2uaOnRdFWW8ZOpO1LyC&#10;yUTIkjXwKFM3lqyF6GXhetNp4LZCxrUUEVcK/t2aSecB4ycJj5rPSaJ4Q4q1A9wa/Jb4fdTf7sM9&#10;C1PJ6iyPOhrsB1iULK9g0T7UljWMnGT+IlSZR1IokTR3kShdkSR5xDEHyIZOb7J5lOJUYy5p2KZ1&#10;LxNIe6PTD4eN/jh/kSSP107gkIqVYBGuSmZamrZOQ0A8yvpr/UWa/GD4SUR/Kph2b+f1c2rA5Nj+&#10;LmIIx06NQGmeElnqEJA0eUIHnnsH+FNDIvhzEXjBajl3SARzc7qkQWdRlIGP+rWZtwSmMLvy+qld&#10;9zb1VnPfvEu9JU67LDTrIteOm04Mtpu6KKr+n6JfM1ZzNEppvTpFF1bRveRcb2HiG1ERZBVVQzkH&#10;M5qiAtW/K+RLRayab+nBwuikmkcu0BN2/qQaUwsxjNDpuNsPB6ibpCygLH6dkCnRy+FXVzs9jFrY&#10;Ly45TElLzPJdVBvMsygM5kENk97JtI81syiIhZgMohlHocZ6GJg9YEYDzzf8bqnBhjI4Tc0fowb7&#10;ahBtjBq42sd6gxqce4Ng49RWFqepLceo0WsPQLHXVKNDCzTmddXotQfjhg5dOFBvlNy1DWPkhia8&#10;Qe7ahXFyQx8ONBgld23EmKt06MONrXCGpLYqWGYLJXqqukqBEWH6vpviOVcLpQ+qA5gBx9QBD1II&#10;AShdViNgEEeDF3rnfhcMXDUY7H4PmoKNCJ+/Dw7CInw1hBtOXcISrtXbC1U6BC7Uo36HhTVrtE52&#10;SFpoDczZnOkRFLKeKsWZHwSCmsuNYOscVrwAimoI7GIBywHYQuxvjTEvUHsd2Hn7a3BQXxDuPZhX&#10;lowKobixQmeODvYSaOUGJ20l9nlRoEpFpYUJZnMjhxJFHutJrYiS6XFTSHJmunHBT2fHFQwahCrG&#10;YBln8a4bNywvzBgWL3DbwZXQGaIvB+xM/llNV7vlbulPfC/YTfzpdjv5uN/4k2BPF/PtbLvZbOm/&#10;2inqh1kex7zS7GyXRP333Zldv2b6m75PusriKtk9fl4m617TQJEhF/uL2cElby5Nc8MfRfwMF6gU&#10;pu2DNhUGmZB/O6SFlm/tqL9OTHKHFL9V0AGsqO/rHhEf/PkCGgwihzPH4QyrIgi1dhoHil8PN43p&#10;K0+1zNMMVqK4yyvxETqgJNfXK/IzrLoHaEJwhA0e5tI1o7qDHD4j6tIyP/wHAAD//wMAUEsDBBQA&#10;BgAIAAAAIQDa3rUs4gAAAAsBAAAPAAAAZHJzL2Rvd25yZXYueG1sTI/LasMwEEX3hf6DmEJ3jfxo&#10;Xq7lEELbVSg0KYTsJvbENrFGxlJs5++rrNrdDHO4c266GnUjeupsbVhBOAlAEOemqLlU8LP/eFmA&#10;sA65wMYwKbiRhVX2+JBiUpiBv6nfuVL4ELYJKqicaxMpbV6RRjsxLbG/nU2n0fm1K2XR4eDDdSOj&#10;IJhJjTX7DxW2tKkov+yuWsHngMM6Dt/77eW8uR3306/DNiSlnp/G9RsIR6P7g+Gu79Uh804nc+XC&#10;ikZBHC1mHlWwDF9B3IFptJyDOPlpHgcgs1T+75D9AgAA//8DAFBLAQItABQABgAIAAAAIQC2gziS&#10;/gAAAOEBAAATAAAAAAAAAAAAAAAAAAAAAABbQ29udGVudF9UeXBlc10ueG1sUEsBAi0AFAAGAAgA&#10;AAAhADj9If/WAAAAlAEAAAsAAAAAAAAAAAAAAAAALwEAAF9yZWxzLy5yZWxzUEsBAi0AFAAGAAgA&#10;AAAhAFzkH/gVBAAAegsAAA4AAAAAAAAAAAAAAAAALgIAAGRycy9lMm9Eb2MueG1sUEsBAi0AFAAG&#10;AAgAAAAhANretSziAAAACwEAAA8AAAAAAAAAAAAAAAAAbwYAAGRycy9kb3ducmV2LnhtbFBLBQYA&#10;AAAABAAEAPMAAAB+BwAAAAA=&#10;">
              <v:shape id="Freeform 4" o:spid="_x0000_s1027" style="position:absolute;left:3286;top:920;width:12954;height:1280;visibility:visible;mso-wrap-style:square;v-text-anchor:top" coordsize="12954,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6PnMYA&#10;AADaAAAADwAAAGRycy9kb3ducmV2LnhtbESPQWvCQBSE74L/YXlCb7qxQpTUVWqhpbQgattDb6/Z&#10;12ww+zbJbk36711B8DjMzDfMct3bSpyo9aVjBdNJAoI4d7rkQsHnx/N4AcIHZI2VY1LwTx7Wq+Fg&#10;iZl2He/pdAiFiBD2GSowIdSZlD43ZNFPXE0cvV/XWgxRtoXULXYRbit5nySptFhyXDBY05Oh/Hj4&#10;swq+3+Zpk/58Nc3LrH4329lut9l0St2N+scHEIH6cAtf269awRwuV+INkK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6PnMYAAADaAAAADwAAAAAAAAAAAAAAAACYAgAAZHJz&#10;L2Rvd25yZXYueG1sUEsFBgAAAAAEAAQA9QAAAIsDAAAAAA==&#10;" path="m,1280r12954,l12954,,,,,1280xe" filled="f" strokeweight=".5pt">
                <v:path arrowok="t" o:connecttype="custom" o:connectlocs="0,2200;12954,2200;12954,920;0,920;0,2200" o:connectangles="0,0,0,0,0"/>
              </v:shape>
              <w10:wrap anchorx="page" anchory="page"/>
            </v:group>
          </w:pict>
        </mc:Fallback>
      </mc:AlternateContent>
    </w:r>
    <w:r w:rsidR="00A43B41">
      <w:rPr>
        <w:noProof/>
        <w:lang w:val="en-CA" w:eastAsia="en-CA" w:bidi="ar-SA"/>
      </w:rPr>
      <mc:AlternateContent>
        <mc:Choice Requires="wps">
          <w:drawing>
            <wp:anchor distT="0" distB="0" distL="114300" distR="114300" simplePos="0" relativeHeight="251656704" behindDoc="1" locked="0" layoutInCell="1" allowOverlap="1">
              <wp:simplePos x="0" y="0"/>
              <wp:positionH relativeFrom="page">
                <wp:posOffset>2172970</wp:posOffset>
              </wp:positionH>
              <wp:positionV relativeFrom="page">
                <wp:posOffset>677545</wp:posOffset>
              </wp:positionV>
              <wp:extent cx="7379335" cy="355600"/>
              <wp:effectExtent l="0" t="0" r="1206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933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E70" w:rsidRPr="00F26D23" w:rsidRDefault="00715E70" w:rsidP="00F26D23">
                          <w:pPr>
                            <w:spacing w:line="224" w:lineRule="exact"/>
                            <w:ind w:left="20"/>
                            <w:rPr>
                              <w:rFonts w:ascii="Arial" w:hAnsi="Arial" w:cs="Arial"/>
                              <w:sz w:val="20"/>
                              <w:szCs w:val="20"/>
                            </w:rPr>
                          </w:pPr>
                          <w:r>
                            <w:rPr>
                              <w:rFonts w:ascii="Arial" w:hAnsi="Arial"/>
                              <w:sz w:val="20"/>
                            </w:rPr>
                            <w:t xml:space="preserve">Il est nécessaire d’évaluer les éléments suivants avant de formuler une recommandation à un directeur en vertu de la </w:t>
                          </w:r>
                          <w:r>
                            <w:rPr>
                              <w:rFonts w:ascii="Arial" w:hAnsi="Arial"/>
                              <w:i/>
                              <w:sz w:val="20"/>
                            </w:rPr>
                            <w:t>Loi de 2008 sur les services et soutiens favorisant l’inclusion sociale des personnes ayant une déficience intellectuelle</w:t>
                          </w:r>
                          <w:r>
                            <w:rPr>
                              <w:rFonts w:ascii="Arial" w:hAnsi="Arial"/>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71.1pt;margin-top:53.35pt;width:581.05pt;height:2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lXrwIAAKkFAAAOAAAAZHJzL2Uyb0RvYy54bWysVNuOmzAQfa/Uf7D8zgIJJAEtqXZDqCpt&#10;L9JuP8DBJlgFm9pOYFv13zs2IdnLS9WWB2uwx2fOzBzP9buhbdCRKc2lyHB4FWDERCkpF/sMf30o&#10;vBVG2hBBSSMFy/Aj0/jd+u2b675L2UzWsqFMIQAROu27DNfGdKnv67JmLdFXsmMCDiupWmLgV+19&#10;qkgP6G3jz4Jg4fdS0U7JkmkNu/l4iNcOv6pYaT5XlWYGNRkGbsatyq07u/rra5LuFelqXp5okL9g&#10;0RIuIOgZKieGoIPir6BaXiqpZWWuStn6sqp4yVwOkE0YvMjmviYdc7lAcXR3LpP+f7Dlp+MXhTjN&#10;cIyRIC206IENBt3KAcW2On2nU3C678DNDLANXXaZ6u5Olt80EnJTE7FnN0rJvmaEArvQ3vSfXB1x&#10;tAXZ9R8lhTDkYKQDGirV2tJBMRCgQ5cez52xVErYXM6XyXwOFEs4m8fxInCt80k63e6UNu+ZbJE1&#10;Mqyg8w6dHO+0sWxIOrnYYEIWvGlc9xvxbAMcxx2IDVftmWXhmvkzCZLtaruKvGi22HpRkOfeTbGJ&#10;vEURLuN8nm82efjLxg2jtOaUMmHDTMIKoz9r3EnioyTO0tKy4dTCWUpa7XebRqEjAWEX7nM1h5OL&#10;m/+chisC5PIipXAWBbezxCsWq6UXFVHsJctg5QVhcpssgiiJ8uJ5SndcsH9PCfUZTuJZPIrpQvpF&#10;boH7XudG0pYbGB0NbzO8OjuR1EpwK6hrrSG8Ge0npbD0L6WAdk+NdoK1Gh3VaobdAChWxTtJH0G6&#10;SoKyQJ8w78CopfqBUQ+zI8P6+4EohlHzQYD87aCZDDUZu8kgooSrGTYYjebGjAPp0Cm+rwF5fGBC&#10;3sATqbhT74XF6WHBPHBJnGaXHThP/53XZcKufwMAAP//AwBQSwMEFAAGAAgAAAAhAGFsfOXhAAAA&#10;DAEAAA8AAABkcnMvZG93bnJldi54bWxMj8FOwzAMhu9IvENkJG4soRvdVppOE4ITEqIrB45pk7XR&#10;Gqc02VbeHu80brb+T78/55vJ9exkxmA9SnicCWAGG68tthK+qreHFbAQFWrVezQSfk2ATXF7k6tM&#10;+zOW5rSLLaMSDJmS0MU4ZJyHpjNOhZkfDFK296NTkdax5XpUZyp3PU+ESLlTFulCpwbz0pnmsDs6&#10;CdtvLF/tz0f9We5LW1Vrge/pQcr7u2n7DCyaKV5huOiTOhTkVPsj6sB6CfNFkhBKgUiXwC7Ek1jM&#10;gdU0pckSeJHz/08UfwAAAP//AwBQSwECLQAUAAYACAAAACEAtoM4kv4AAADhAQAAEwAAAAAAAAAA&#10;AAAAAAAAAAAAW0NvbnRlbnRfVHlwZXNdLnhtbFBLAQItABQABgAIAAAAIQA4/SH/1gAAAJQBAAAL&#10;AAAAAAAAAAAAAAAAAC8BAABfcmVscy8ucmVsc1BLAQItABQABgAIAAAAIQCnnulXrwIAAKkFAAAO&#10;AAAAAAAAAAAAAAAAAC4CAABkcnMvZTJvRG9jLnhtbFBLAQItABQABgAIAAAAIQBhbHzl4QAAAAwB&#10;AAAPAAAAAAAAAAAAAAAAAAkFAABkcnMvZG93bnJldi54bWxQSwUGAAAAAAQABADzAAAAFwYAAAAA&#10;" filled="f" stroked="f">
              <v:textbox inset="0,0,0,0">
                <w:txbxContent>
                  <w:p w:rsidR="00715E70" w:rsidRPr="00F26D23" w:rsidRDefault="00715E70" w:rsidP="00F26D23">
                    <w:pPr>
                      <w:spacing w:line="224" w:lineRule="exact"/>
                      <w:ind w:left="20"/>
                      <w:rPr>
                        <w:rFonts w:ascii="Arial" w:hAnsi="Arial" w:cs="Arial"/>
                        <w:sz w:val="20"/>
                        <w:szCs w:val="20"/>
                      </w:rPr>
                    </w:pPr>
                    <w:r>
                      <w:rPr>
                        <w:rFonts w:ascii="Arial" w:hAnsi="Arial"/>
                        <w:sz w:val="20"/>
                      </w:rPr>
                      <w:t xml:space="preserve">Il est nécessaire d’évaluer les éléments suivants avant de formuler une recommandation à un directeur en vertu de la </w:t>
                    </w:r>
                    <w:r>
                      <w:rPr>
                        <w:rFonts w:ascii="Arial" w:hAnsi="Arial"/>
                        <w:i/>
                        <w:sz w:val="20"/>
                      </w:rPr>
                      <w:t>Loi de 2008 sur les services et soutiens favorisant l’inclusion sociale des personnes ayant une déficience intellectuelle</w:t>
                    </w:r>
                    <w:r>
                      <w:rPr>
                        <w:rFonts w:ascii="Arial" w:hAnsi="Arial"/>
                        <w:sz w:val="20"/>
                      </w:rPr>
                      <w:t>.</w:t>
                    </w:r>
                  </w:p>
                </w:txbxContent>
              </v:textbox>
              <w10:wrap anchorx="page" anchory="page"/>
            </v:shape>
          </w:pict>
        </mc:Fallback>
      </mc:AlternateContent>
    </w:r>
    <w:r w:rsidRPr="007635D3">
      <w:rPr>
        <w:sz w:val="20"/>
        <w:szCs w:val="20"/>
      </w:rPr>
      <w:object w:dxaOrig="16857" w:dyaOrig="11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267.75pt" o:ole="">
          <v:imagedata r:id="rId2" o:title=""/>
        </v:shape>
        <o:OLEObject Type="Embed" ProgID="AcroExch.Document.DC" ShapeID="_x0000_i1025" DrawAspect="Content" ObjectID="_1534240185" r:id="rId3"/>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70" w:rsidRDefault="00715E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D43"/>
    <w:multiLevelType w:val="hybridMultilevel"/>
    <w:tmpl w:val="81DAEFE8"/>
    <w:lvl w:ilvl="0" w:tplc="8AD8E8FE">
      <w:start w:val="1"/>
      <w:numFmt w:val="bullet"/>
      <w:lvlText w:val=""/>
      <w:lvlJc w:val="left"/>
      <w:pPr>
        <w:ind w:left="360" w:hanging="360"/>
      </w:pPr>
      <w:rPr>
        <w:rFonts w:ascii="Symbol" w:hAnsi="Symbol"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2714700"/>
    <w:multiLevelType w:val="hybridMultilevel"/>
    <w:tmpl w:val="381296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37B2B1B"/>
    <w:multiLevelType w:val="hybridMultilevel"/>
    <w:tmpl w:val="3E2228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1A64E4C"/>
    <w:multiLevelType w:val="hybridMultilevel"/>
    <w:tmpl w:val="FCFE59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6041907"/>
    <w:multiLevelType w:val="hybridMultilevel"/>
    <w:tmpl w:val="C72C7A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0E92861"/>
    <w:multiLevelType w:val="hybridMultilevel"/>
    <w:tmpl w:val="72EA0F8E"/>
    <w:lvl w:ilvl="0" w:tplc="8AD8E8FE">
      <w:start w:val="1"/>
      <w:numFmt w:val="bullet"/>
      <w:lvlText w:val=""/>
      <w:lvlJc w:val="left"/>
      <w:pPr>
        <w:ind w:left="360" w:hanging="360"/>
      </w:pPr>
      <w:rPr>
        <w:rFonts w:ascii="Symbol" w:hAnsi="Symbol"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1F53187"/>
    <w:multiLevelType w:val="hybridMultilevel"/>
    <w:tmpl w:val="7C78A9DA"/>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7050C4F"/>
    <w:multiLevelType w:val="hybridMultilevel"/>
    <w:tmpl w:val="EE806E3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2424F7"/>
    <w:multiLevelType w:val="hybridMultilevel"/>
    <w:tmpl w:val="9A122B28"/>
    <w:lvl w:ilvl="0" w:tplc="8AD8E8FE">
      <w:start w:val="1"/>
      <w:numFmt w:val="bullet"/>
      <w:lvlText w:val=""/>
      <w:lvlJc w:val="left"/>
      <w:pPr>
        <w:ind w:left="360" w:hanging="360"/>
      </w:pPr>
      <w:rPr>
        <w:rFonts w:ascii="Symbol" w:hAnsi="Symbol"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49883B68"/>
    <w:multiLevelType w:val="hybridMultilevel"/>
    <w:tmpl w:val="A3544ED0"/>
    <w:lvl w:ilvl="0" w:tplc="10090001">
      <w:start w:val="1"/>
      <w:numFmt w:val="bullet"/>
      <w:lvlText w:val=""/>
      <w:lvlJc w:val="left"/>
      <w:pPr>
        <w:tabs>
          <w:tab w:val="num" w:pos="830"/>
        </w:tabs>
        <w:ind w:left="830" w:hanging="360"/>
      </w:pPr>
      <w:rPr>
        <w:rFonts w:ascii="Symbol" w:hAnsi="Symbol" w:hint="default"/>
      </w:rPr>
    </w:lvl>
    <w:lvl w:ilvl="1" w:tplc="10090003">
      <w:start w:val="1"/>
      <w:numFmt w:val="bullet"/>
      <w:lvlText w:val="o"/>
      <w:lvlJc w:val="left"/>
      <w:pPr>
        <w:tabs>
          <w:tab w:val="num" w:pos="1550"/>
        </w:tabs>
        <w:ind w:left="1550" w:hanging="360"/>
      </w:pPr>
      <w:rPr>
        <w:rFonts w:ascii="Courier New" w:hAnsi="Courier New" w:hint="default"/>
      </w:rPr>
    </w:lvl>
    <w:lvl w:ilvl="2" w:tplc="10090005">
      <w:start w:val="1"/>
      <w:numFmt w:val="bullet"/>
      <w:lvlText w:val=""/>
      <w:lvlJc w:val="left"/>
      <w:pPr>
        <w:tabs>
          <w:tab w:val="num" w:pos="2270"/>
        </w:tabs>
        <w:ind w:left="2270" w:hanging="360"/>
      </w:pPr>
      <w:rPr>
        <w:rFonts w:ascii="Wingdings" w:hAnsi="Wingdings" w:hint="default"/>
      </w:rPr>
    </w:lvl>
    <w:lvl w:ilvl="3" w:tplc="10090001" w:tentative="1">
      <w:start w:val="1"/>
      <w:numFmt w:val="bullet"/>
      <w:lvlText w:val=""/>
      <w:lvlJc w:val="left"/>
      <w:pPr>
        <w:tabs>
          <w:tab w:val="num" w:pos="2990"/>
        </w:tabs>
        <w:ind w:left="2990" w:hanging="360"/>
      </w:pPr>
      <w:rPr>
        <w:rFonts w:ascii="Symbol" w:hAnsi="Symbol" w:hint="default"/>
      </w:rPr>
    </w:lvl>
    <w:lvl w:ilvl="4" w:tplc="10090003" w:tentative="1">
      <w:start w:val="1"/>
      <w:numFmt w:val="bullet"/>
      <w:lvlText w:val="o"/>
      <w:lvlJc w:val="left"/>
      <w:pPr>
        <w:tabs>
          <w:tab w:val="num" w:pos="3710"/>
        </w:tabs>
        <w:ind w:left="3710" w:hanging="360"/>
      </w:pPr>
      <w:rPr>
        <w:rFonts w:ascii="Courier New" w:hAnsi="Courier New" w:hint="default"/>
      </w:rPr>
    </w:lvl>
    <w:lvl w:ilvl="5" w:tplc="10090005" w:tentative="1">
      <w:start w:val="1"/>
      <w:numFmt w:val="bullet"/>
      <w:lvlText w:val=""/>
      <w:lvlJc w:val="left"/>
      <w:pPr>
        <w:tabs>
          <w:tab w:val="num" w:pos="4430"/>
        </w:tabs>
        <w:ind w:left="4430" w:hanging="360"/>
      </w:pPr>
      <w:rPr>
        <w:rFonts w:ascii="Wingdings" w:hAnsi="Wingdings" w:hint="default"/>
      </w:rPr>
    </w:lvl>
    <w:lvl w:ilvl="6" w:tplc="10090001" w:tentative="1">
      <w:start w:val="1"/>
      <w:numFmt w:val="bullet"/>
      <w:lvlText w:val=""/>
      <w:lvlJc w:val="left"/>
      <w:pPr>
        <w:tabs>
          <w:tab w:val="num" w:pos="5150"/>
        </w:tabs>
        <w:ind w:left="5150" w:hanging="360"/>
      </w:pPr>
      <w:rPr>
        <w:rFonts w:ascii="Symbol" w:hAnsi="Symbol" w:hint="default"/>
      </w:rPr>
    </w:lvl>
    <w:lvl w:ilvl="7" w:tplc="10090003" w:tentative="1">
      <w:start w:val="1"/>
      <w:numFmt w:val="bullet"/>
      <w:lvlText w:val="o"/>
      <w:lvlJc w:val="left"/>
      <w:pPr>
        <w:tabs>
          <w:tab w:val="num" w:pos="5870"/>
        </w:tabs>
        <w:ind w:left="5870" w:hanging="360"/>
      </w:pPr>
      <w:rPr>
        <w:rFonts w:ascii="Courier New" w:hAnsi="Courier New" w:hint="default"/>
      </w:rPr>
    </w:lvl>
    <w:lvl w:ilvl="8" w:tplc="10090005" w:tentative="1">
      <w:start w:val="1"/>
      <w:numFmt w:val="bullet"/>
      <w:lvlText w:val=""/>
      <w:lvlJc w:val="left"/>
      <w:pPr>
        <w:tabs>
          <w:tab w:val="num" w:pos="6590"/>
        </w:tabs>
        <w:ind w:left="6590" w:hanging="360"/>
      </w:pPr>
      <w:rPr>
        <w:rFonts w:ascii="Wingdings" w:hAnsi="Wingdings" w:hint="default"/>
      </w:rPr>
    </w:lvl>
  </w:abstractNum>
  <w:abstractNum w:abstractNumId="10">
    <w:nsid w:val="4AC35C90"/>
    <w:multiLevelType w:val="hybridMultilevel"/>
    <w:tmpl w:val="5962A2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4BDE5810"/>
    <w:multiLevelType w:val="hybridMultilevel"/>
    <w:tmpl w:val="2DC2F980"/>
    <w:lvl w:ilvl="0" w:tplc="8AD8E8FE">
      <w:start w:val="1"/>
      <w:numFmt w:val="bullet"/>
      <w:lvlText w:val=""/>
      <w:lvlJc w:val="left"/>
      <w:pPr>
        <w:ind w:left="360" w:hanging="360"/>
      </w:pPr>
      <w:rPr>
        <w:rFonts w:ascii="Symbol" w:hAnsi="Symbol"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5F1B621F"/>
    <w:multiLevelType w:val="hybridMultilevel"/>
    <w:tmpl w:val="FDEE55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62BE6D41"/>
    <w:multiLevelType w:val="hybridMultilevel"/>
    <w:tmpl w:val="43E6601C"/>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68EF682A"/>
    <w:multiLevelType w:val="hybridMultilevel"/>
    <w:tmpl w:val="C80C32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73D5799D"/>
    <w:multiLevelType w:val="hybridMultilevel"/>
    <w:tmpl w:val="2D3CA73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6">
    <w:nsid w:val="7E15322C"/>
    <w:multiLevelType w:val="hybridMultilevel"/>
    <w:tmpl w:val="FD2C0D24"/>
    <w:lvl w:ilvl="0" w:tplc="8AD8E8FE">
      <w:start w:val="1"/>
      <w:numFmt w:val="bullet"/>
      <w:lvlText w:val=""/>
      <w:lvlJc w:val="left"/>
      <w:pPr>
        <w:ind w:left="360" w:hanging="360"/>
      </w:pPr>
      <w:rPr>
        <w:rFonts w:ascii="Symbol" w:hAnsi="Symbol" w:hint="default"/>
        <w:color w:val="000000" w:themeColor="text1"/>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abstractNumId w:val="10"/>
  </w:num>
  <w:num w:numId="2">
    <w:abstractNumId w:val="12"/>
  </w:num>
  <w:num w:numId="3">
    <w:abstractNumId w:val="4"/>
  </w:num>
  <w:num w:numId="4">
    <w:abstractNumId w:val="2"/>
  </w:num>
  <w:num w:numId="5">
    <w:abstractNumId w:val="9"/>
  </w:num>
  <w:num w:numId="6">
    <w:abstractNumId w:val="7"/>
  </w:num>
  <w:num w:numId="7">
    <w:abstractNumId w:val="6"/>
  </w:num>
  <w:num w:numId="8">
    <w:abstractNumId w:val="13"/>
  </w:num>
  <w:num w:numId="9">
    <w:abstractNumId w:val="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6"/>
  </w:num>
  <w:num w:numId="13">
    <w:abstractNumId w:val="0"/>
  </w:num>
  <w:num w:numId="14">
    <w:abstractNumId w:val="8"/>
  </w:num>
  <w:num w:numId="15">
    <w:abstractNumId w:val="5"/>
  </w:num>
  <w:num w:numId="16">
    <w:abstractNumId w:val="14"/>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42"/>
    <w:rsid w:val="00001FB6"/>
    <w:rsid w:val="00002E25"/>
    <w:rsid w:val="00003AB9"/>
    <w:rsid w:val="000065E8"/>
    <w:rsid w:val="00007606"/>
    <w:rsid w:val="0000799F"/>
    <w:rsid w:val="000118F0"/>
    <w:rsid w:val="00011AE2"/>
    <w:rsid w:val="00011B29"/>
    <w:rsid w:val="00011EA5"/>
    <w:rsid w:val="0001238B"/>
    <w:rsid w:val="000125B1"/>
    <w:rsid w:val="00012CEE"/>
    <w:rsid w:val="00014E6F"/>
    <w:rsid w:val="00016103"/>
    <w:rsid w:val="00020A6D"/>
    <w:rsid w:val="00020AEB"/>
    <w:rsid w:val="000217CC"/>
    <w:rsid w:val="0002357C"/>
    <w:rsid w:val="00023BC3"/>
    <w:rsid w:val="00023DAF"/>
    <w:rsid w:val="000257E0"/>
    <w:rsid w:val="0002609B"/>
    <w:rsid w:val="00026147"/>
    <w:rsid w:val="00026E0F"/>
    <w:rsid w:val="00027411"/>
    <w:rsid w:val="00027AA1"/>
    <w:rsid w:val="00030059"/>
    <w:rsid w:val="00033ACA"/>
    <w:rsid w:val="0003503A"/>
    <w:rsid w:val="00036BB3"/>
    <w:rsid w:val="00037652"/>
    <w:rsid w:val="00037AD5"/>
    <w:rsid w:val="00040B62"/>
    <w:rsid w:val="00043625"/>
    <w:rsid w:val="0004374E"/>
    <w:rsid w:val="00044975"/>
    <w:rsid w:val="00044A2E"/>
    <w:rsid w:val="00044A55"/>
    <w:rsid w:val="0004757E"/>
    <w:rsid w:val="0004776A"/>
    <w:rsid w:val="0005018B"/>
    <w:rsid w:val="000505AE"/>
    <w:rsid w:val="00051F31"/>
    <w:rsid w:val="00053D15"/>
    <w:rsid w:val="00053D1A"/>
    <w:rsid w:val="0005408B"/>
    <w:rsid w:val="000540FA"/>
    <w:rsid w:val="000554D1"/>
    <w:rsid w:val="00056A4B"/>
    <w:rsid w:val="00057994"/>
    <w:rsid w:val="00057F0E"/>
    <w:rsid w:val="00060972"/>
    <w:rsid w:val="00060B63"/>
    <w:rsid w:val="00061B08"/>
    <w:rsid w:val="00064B9B"/>
    <w:rsid w:val="00064E3A"/>
    <w:rsid w:val="0006565F"/>
    <w:rsid w:val="0006681C"/>
    <w:rsid w:val="00067913"/>
    <w:rsid w:val="000709E7"/>
    <w:rsid w:val="00070D48"/>
    <w:rsid w:val="00071042"/>
    <w:rsid w:val="00071212"/>
    <w:rsid w:val="00071A35"/>
    <w:rsid w:val="00071C3D"/>
    <w:rsid w:val="0007247A"/>
    <w:rsid w:val="00073400"/>
    <w:rsid w:val="000737A7"/>
    <w:rsid w:val="00073868"/>
    <w:rsid w:val="000801EF"/>
    <w:rsid w:val="0008138A"/>
    <w:rsid w:val="00081629"/>
    <w:rsid w:val="00081A3A"/>
    <w:rsid w:val="00081EAB"/>
    <w:rsid w:val="0008352C"/>
    <w:rsid w:val="00083811"/>
    <w:rsid w:val="00083859"/>
    <w:rsid w:val="000868FD"/>
    <w:rsid w:val="0008704F"/>
    <w:rsid w:val="00087533"/>
    <w:rsid w:val="00091E41"/>
    <w:rsid w:val="00093249"/>
    <w:rsid w:val="000933B2"/>
    <w:rsid w:val="000942AF"/>
    <w:rsid w:val="000945DC"/>
    <w:rsid w:val="00095404"/>
    <w:rsid w:val="0009697E"/>
    <w:rsid w:val="00096EE1"/>
    <w:rsid w:val="00097566"/>
    <w:rsid w:val="000A005E"/>
    <w:rsid w:val="000A06D8"/>
    <w:rsid w:val="000A07B3"/>
    <w:rsid w:val="000A0AD7"/>
    <w:rsid w:val="000A1F4D"/>
    <w:rsid w:val="000A4604"/>
    <w:rsid w:val="000A47C4"/>
    <w:rsid w:val="000A510A"/>
    <w:rsid w:val="000A517C"/>
    <w:rsid w:val="000A567E"/>
    <w:rsid w:val="000A6D99"/>
    <w:rsid w:val="000A7F43"/>
    <w:rsid w:val="000B0C5F"/>
    <w:rsid w:val="000B1C32"/>
    <w:rsid w:val="000B206A"/>
    <w:rsid w:val="000B2252"/>
    <w:rsid w:val="000B27E7"/>
    <w:rsid w:val="000B31A7"/>
    <w:rsid w:val="000B3443"/>
    <w:rsid w:val="000B3729"/>
    <w:rsid w:val="000B38D8"/>
    <w:rsid w:val="000B46AB"/>
    <w:rsid w:val="000B4976"/>
    <w:rsid w:val="000B4CFE"/>
    <w:rsid w:val="000B5AB1"/>
    <w:rsid w:val="000B670C"/>
    <w:rsid w:val="000B69C3"/>
    <w:rsid w:val="000C08C3"/>
    <w:rsid w:val="000C0E34"/>
    <w:rsid w:val="000C19BE"/>
    <w:rsid w:val="000C1AF2"/>
    <w:rsid w:val="000C3731"/>
    <w:rsid w:val="000C4947"/>
    <w:rsid w:val="000C524B"/>
    <w:rsid w:val="000C6A52"/>
    <w:rsid w:val="000D0B1B"/>
    <w:rsid w:val="000D0BFD"/>
    <w:rsid w:val="000D131E"/>
    <w:rsid w:val="000D15EA"/>
    <w:rsid w:val="000D21CE"/>
    <w:rsid w:val="000D3A71"/>
    <w:rsid w:val="000D4A1F"/>
    <w:rsid w:val="000D4CB6"/>
    <w:rsid w:val="000E062F"/>
    <w:rsid w:val="000E1D0B"/>
    <w:rsid w:val="000E28AF"/>
    <w:rsid w:val="000E4673"/>
    <w:rsid w:val="000E4887"/>
    <w:rsid w:val="000E5A20"/>
    <w:rsid w:val="000E6217"/>
    <w:rsid w:val="000E7F01"/>
    <w:rsid w:val="000F00D4"/>
    <w:rsid w:val="000F0B0C"/>
    <w:rsid w:val="000F0B4C"/>
    <w:rsid w:val="000F0E86"/>
    <w:rsid w:val="000F14AB"/>
    <w:rsid w:val="000F334E"/>
    <w:rsid w:val="000F4062"/>
    <w:rsid w:val="000F610C"/>
    <w:rsid w:val="000F6AE8"/>
    <w:rsid w:val="000F6B6F"/>
    <w:rsid w:val="00105BC1"/>
    <w:rsid w:val="00106EC7"/>
    <w:rsid w:val="001113A5"/>
    <w:rsid w:val="0011221A"/>
    <w:rsid w:val="00112BFD"/>
    <w:rsid w:val="001133FC"/>
    <w:rsid w:val="00113630"/>
    <w:rsid w:val="001139C0"/>
    <w:rsid w:val="00113CB9"/>
    <w:rsid w:val="00114374"/>
    <w:rsid w:val="00114978"/>
    <w:rsid w:val="001151C5"/>
    <w:rsid w:val="001156C0"/>
    <w:rsid w:val="0011661A"/>
    <w:rsid w:val="00116ACC"/>
    <w:rsid w:val="00116E04"/>
    <w:rsid w:val="00117554"/>
    <w:rsid w:val="001204D2"/>
    <w:rsid w:val="00120A9A"/>
    <w:rsid w:val="00120ADC"/>
    <w:rsid w:val="001220ED"/>
    <w:rsid w:val="001228E5"/>
    <w:rsid w:val="00123D62"/>
    <w:rsid w:val="00123DDB"/>
    <w:rsid w:val="00124A78"/>
    <w:rsid w:val="001257E6"/>
    <w:rsid w:val="001262BB"/>
    <w:rsid w:val="001269F8"/>
    <w:rsid w:val="001308B4"/>
    <w:rsid w:val="00130B1D"/>
    <w:rsid w:val="001345C1"/>
    <w:rsid w:val="00134F0C"/>
    <w:rsid w:val="00135E7F"/>
    <w:rsid w:val="0013617E"/>
    <w:rsid w:val="00136D92"/>
    <w:rsid w:val="001371B1"/>
    <w:rsid w:val="001373F4"/>
    <w:rsid w:val="00137818"/>
    <w:rsid w:val="0014036F"/>
    <w:rsid w:val="00140C3E"/>
    <w:rsid w:val="00141033"/>
    <w:rsid w:val="001416F3"/>
    <w:rsid w:val="00142D3B"/>
    <w:rsid w:val="0014314F"/>
    <w:rsid w:val="00145BC6"/>
    <w:rsid w:val="00153801"/>
    <w:rsid w:val="00153AD4"/>
    <w:rsid w:val="001541AF"/>
    <w:rsid w:val="001547D5"/>
    <w:rsid w:val="00156707"/>
    <w:rsid w:val="00157557"/>
    <w:rsid w:val="0016018E"/>
    <w:rsid w:val="00160AAD"/>
    <w:rsid w:val="00161312"/>
    <w:rsid w:val="0016222B"/>
    <w:rsid w:val="001629CC"/>
    <w:rsid w:val="00162DED"/>
    <w:rsid w:val="001635E3"/>
    <w:rsid w:val="001643F1"/>
    <w:rsid w:val="001662E8"/>
    <w:rsid w:val="001663F1"/>
    <w:rsid w:val="001716D4"/>
    <w:rsid w:val="00171861"/>
    <w:rsid w:val="0017271E"/>
    <w:rsid w:val="001729CE"/>
    <w:rsid w:val="00172B11"/>
    <w:rsid w:val="001730E2"/>
    <w:rsid w:val="00173EF0"/>
    <w:rsid w:val="00174AAD"/>
    <w:rsid w:val="001753BA"/>
    <w:rsid w:val="00175E31"/>
    <w:rsid w:val="0017614E"/>
    <w:rsid w:val="00176AC9"/>
    <w:rsid w:val="00176BD4"/>
    <w:rsid w:val="00181000"/>
    <w:rsid w:val="00181210"/>
    <w:rsid w:val="001812EB"/>
    <w:rsid w:val="00181784"/>
    <w:rsid w:val="001818A9"/>
    <w:rsid w:val="00182212"/>
    <w:rsid w:val="00182E21"/>
    <w:rsid w:val="00182F16"/>
    <w:rsid w:val="00185D38"/>
    <w:rsid w:val="00186DAE"/>
    <w:rsid w:val="00186FE3"/>
    <w:rsid w:val="00187CEB"/>
    <w:rsid w:val="00191F93"/>
    <w:rsid w:val="001947BB"/>
    <w:rsid w:val="00194ABD"/>
    <w:rsid w:val="0019585E"/>
    <w:rsid w:val="00197042"/>
    <w:rsid w:val="001A04E5"/>
    <w:rsid w:val="001A08C3"/>
    <w:rsid w:val="001A08D8"/>
    <w:rsid w:val="001A0B33"/>
    <w:rsid w:val="001A0C16"/>
    <w:rsid w:val="001A0C2F"/>
    <w:rsid w:val="001A0D1A"/>
    <w:rsid w:val="001A1EDF"/>
    <w:rsid w:val="001A38B2"/>
    <w:rsid w:val="001A3B60"/>
    <w:rsid w:val="001A4614"/>
    <w:rsid w:val="001A6CF2"/>
    <w:rsid w:val="001A7ECF"/>
    <w:rsid w:val="001B07A0"/>
    <w:rsid w:val="001B1FFB"/>
    <w:rsid w:val="001B24B6"/>
    <w:rsid w:val="001B354D"/>
    <w:rsid w:val="001B585C"/>
    <w:rsid w:val="001B620F"/>
    <w:rsid w:val="001C14A6"/>
    <w:rsid w:val="001C191B"/>
    <w:rsid w:val="001C1CBE"/>
    <w:rsid w:val="001C2CD2"/>
    <w:rsid w:val="001C3107"/>
    <w:rsid w:val="001C3509"/>
    <w:rsid w:val="001C40F7"/>
    <w:rsid w:val="001C48A3"/>
    <w:rsid w:val="001C51DC"/>
    <w:rsid w:val="001D0AED"/>
    <w:rsid w:val="001D0E9D"/>
    <w:rsid w:val="001D18D6"/>
    <w:rsid w:val="001D1EBA"/>
    <w:rsid w:val="001D2DB7"/>
    <w:rsid w:val="001D3352"/>
    <w:rsid w:val="001D4F16"/>
    <w:rsid w:val="001D5FD2"/>
    <w:rsid w:val="001D67C8"/>
    <w:rsid w:val="001D732D"/>
    <w:rsid w:val="001D75B6"/>
    <w:rsid w:val="001E1FEB"/>
    <w:rsid w:val="001E2543"/>
    <w:rsid w:val="001E288F"/>
    <w:rsid w:val="001E294A"/>
    <w:rsid w:val="001E3349"/>
    <w:rsid w:val="001E33DC"/>
    <w:rsid w:val="001E3813"/>
    <w:rsid w:val="001E434D"/>
    <w:rsid w:val="001E6109"/>
    <w:rsid w:val="001E6D71"/>
    <w:rsid w:val="001E7C31"/>
    <w:rsid w:val="001F0D85"/>
    <w:rsid w:val="001F3B2C"/>
    <w:rsid w:val="001F5227"/>
    <w:rsid w:val="001F5CB6"/>
    <w:rsid w:val="001F6B43"/>
    <w:rsid w:val="00204297"/>
    <w:rsid w:val="002060E4"/>
    <w:rsid w:val="002065AA"/>
    <w:rsid w:val="0020773B"/>
    <w:rsid w:val="0021017F"/>
    <w:rsid w:val="00211248"/>
    <w:rsid w:val="00211D62"/>
    <w:rsid w:val="00211F96"/>
    <w:rsid w:val="00215E2C"/>
    <w:rsid w:val="002216E4"/>
    <w:rsid w:val="002218B1"/>
    <w:rsid w:val="00222A10"/>
    <w:rsid w:val="00223C65"/>
    <w:rsid w:val="00223C98"/>
    <w:rsid w:val="00225B3B"/>
    <w:rsid w:val="00225BE7"/>
    <w:rsid w:val="002261FF"/>
    <w:rsid w:val="00227292"/>
    <w:rsid w:val="00230AE4"/>
    <w:rsid w:val="00231650"/>
    <w:rsid w:val="00232295"/>
    <w:rsid w:val="002324CA"/>
    <w:rsid w:val="002326F0"/>
    <w:rsid w:val="00233922"/>
    <w:rsid w:val="00233CD2"/>
    <w:rsid w:val="00233D04"/>
    <w:rsid w:val="00236C6F"/>
    <w:rsid w:val="00236D81"/>
    <w:rsid w:val="0023764C"/>
    <w:rsid w:val="00237D68"/>
    <w:rsid w:val="00241CC6"/>
    <w:rsid w:val="00243037"/>
    <w:rsid w:val="00244814"/>
    <w:rsid w:val="0024525B"/>
    <w:rsid w:val="00245D21"/>
    <w:rsid w:val="002470AA"/>
    <w:rsid w:val="00247FC7"/>
    <w:rsid w:val="00250276"/>
    <w:rsid w:val="00250820"/>
    <w:rsid w:val="0025134D"/>
    <w:rsid w:val="00251396"/>
    <w:rsid w:val="0025213B"/>
    <w:rsid w:val="0025229A"/>
    <w:rsid w:val="002526B7"/>
    <w:rsid w:val="00253671"/>
    <w:rsid w:val="002550B5"/>
    <w:rsid w:val="00255CCC"/>
    <w:rsid w:val="002560A1"/>
    <w:rsid w:val="00256171"/>
    <w:rsid w:val="0025661B"/>
    <w:rsid w:val="00257734"/>
    <w:rsid w:val="00260538"/>
    <w:rsid w:val="00260DCE"/>
    <w:rsid w:val="00265CD7"/>
    <w:rsid w:val="00266731"/>
    <w:rsid w:val="00267F2A"/>
    <w:rsid w:val="002715F2"/>
    <w:rsid w:val="00272DB9"/>
    <w:rsid w:val="00274924"/>
    <w:rsid w:val="0027612B"/>
    <w:rsid w:val="00276C69"/>
    <w:rsid w:val="00277677"/>
    <w:rsid w:val="00277941"/>
    <w:rsid w:val="002801BD"/>
    <w:rsid w:val="00280308"/>
    <w:rsid w:val="0028171A"/>
    <w:rsid w:val="0028240E"/>
    <w:rsid w:val="0028384F"/>
    <w:rsid w:val="00283B0F"/>
    <w:rsid w:val="002847EA"/>
    <w:rsid w:val="00284E9F"/>
    <w:rsid w:val="002851A2"/>
    <w:rsid w:val="00285C8B"/>
    <w:rsid w:val="0028685B"/>
    <w:rsid w:val="00286E7D"/>
    <w:rsid w:val="0029142D"/>
    <w:rsid w:val="00291944"/>
    <w:rsid w:val="00292448"/>
    <w:rsid w:val="0029293D"/>
    <w:rsid w:val="00292A63"/>
    <w:rsid w:val="00292B7A"/>
    <w:rsid w:val="00292D8C"/>
    <w:rsid w:val="00292DD0"/>
    <w:rsid w:val="00295E11"/>
    <w:rsid w:val="00296330"/>
    <w:rsid w:val="002978DD"/>
    <w:rsid w:val="002979A9"/>
    <w:rsid w:val="002A02DA"/>
    <w:rsid w:val="002A0712"/>
    <w:rsid w:val="002A21E1"/>
    <w:rsid w:val="002A21F1"/>
    <w:rsid w:val="002A31A0"/>
    <w:rsid w:val="002A61C4"/>
    <w:rsid w:val="002A6937"/>
    <w:rsid w:val="002B0B9D"/>
    <w:rsid w:val="002B3F9C"/>
    <w:rsid w:val="002B4949"/>
    <w:rsid w:val="002B5916"/>
    <w:rsid w:val="002B5B45"/>
    <w:rsid w:val="002B6BD3"/>
    <w:rsid w:val="002C0F73"/>
    <w:rsid w:val="002C1A04"/>
    <w:rsid w:val="002C2035"/>
    <w:rsid w:val="002C263C"/>
    <w:rsid w:val="002C28E6"/>
    <w:rsid w:val="002C3231"/>
    <w:rsid w:val="002C3781"/>
    <w:rsid w:val="002C47AB"/>
    <w:rsid w:val="002C4B33"/>
    <w:rsid w:val="002C5140"/>
    <w:rsid w:val="002C5748"/>
    <w:rsid w:val="002D0EB7"/>
    <w:rsid w:val="002D184C"/>
    <w:rsid w:val="002D3C19"/>
    <w:rsid w:val="002D3DEE"/>
    <w:rsid w:val="002D46DD"/>
    <w:rsid w:val="002D5BE7"/>
    <w:rsid w:val="002D5D89"/>
    <w:rsid w:val="002D62EA"/>
    <w:rsid w:val="002D78D6"/>
    <w:rsid w:val="002D7C52"/>
    <w:rsid w:val="002E09EA"/>
    <w:rsid w:val="002E1C48"/>
    <w:rsid w:val="002F0078"/>
    <w:rsid w:val="002F109D"/>
    <w:rsid w:val="002F2DF9"/>
    <w:rsid w:val="002F2EA1"/>
    <w:rsid w:val="002F3155"/>
    <w:rsid w:val="002F3431"/>
    <w:rsid w:val="002F3AFB"/>
    <w:rsid w:val="002F5083"/>
    <w:rsid w:val="002F541E"/>
    <w:rsid w:val="002F5CA9"/>
    <w:rsid w:val="002F6844"/>
    <w:rsid w:val="00301A9E"/>
    <w:rsid w:val="00301DBF"/>
    <w:rsid w:val="003024A8"/>
    <w:rsid w:val="0030376D"/>
    <w:rsid w:val="00303B3A"/>
    <w:rsid w:val="00306461"/>
    <w:rsid w:val="00306A8B"/>
    <w:rsid w:val="00306AFF"/>
    <w:rsid w:val="003072C7"/>
    <w:rsid w:val="003072E9"/>
    <w:rsid w:val="003112E5"/>
    <w:rsid w:val="003132BA"/>
    <w:rsid w:val="0031734F"/>
    <w:rsid w:val="003178C9"/>
    <w:rsid w:val="003209B0"/>
    <w:rsid w:val="00321DC4"/>
    <w:rsid w:val="00322390"/>
    <w:rsid w:val="003234B1"/>
    <w:rsid w:val="0032358A"/>
    <w:rsid w:val="003238DD"/>
    <w:rsid w:val="00323AA7"/>
    <w:rsid w:val="00324860"/>
    <w:rsid w:val="0032553E"/>
    <w:rsid w:val="0033128A"/>
    <w:rsid w:val="003322A5"/>
    <w:rsid w:val="00334829"/>
    <w:rsid w:val="00334D09"/>
    <w:rsid w:val="00334D93"/>
    <w:rsid w:val="00335638"/>
    <w:rsid w:val="003359BB"/>
    <w:rsid w:val="0033623E"/>
    <w:rsid w:val="00340EAF"/>
    <w:rsid w:val="003414A7"/>
    <w:rsid w:val="00341793"/>
    <w:rsid w:val="003436BB"/>
    <w:rsid w:val="00343943"/>
    <w:rsid w:val="00345A94"/>
    <w:rsid w:val="003472AC"/>
    <w:rsid w:val="00350134"/>
    <w:rsid w:val="003507E8"/>
    <w:rsid w:val="003512D4"/>
    <w:rsid w:val="00351B41"/>
    <w:rsid w:val="00353832"/>
    <w:rsid w:val="00353E34"/>
    <w:rsid w:val="00353E6C"/>
    <w:rsid w:val="00354580"/>
    <w:rsid w:val="00354989"/>
    <w:rsid w:val="0035549C"/>
    <w:rsid w:val="00356AB5"/>
    <w:rsid w:val="00357671"/>
    <w:rsid w:val="00357749"/>
    <w:rsid w:val="0036106A"/>
    <w:rsid w:val="003611AB"/>
    <w:rsid w:val="00361703"/>
    <w:rsid w:val="00363058"/>
    <w:rsid w:val="0036335A"/>
    <w:rsid w:val="00364865"/>
    <w:rsid w:val="00367690"/>
    <w:rsid w:val="0036781F"/>
    <w:rsid w:val="0037131B"/>
    <w:rsid w:val="0037195B"/>
    <w:rsid w:val="00373078"/>
    <w:rsid w:val="00374870"/>
    <w:rsid w:val="003755AD"/>
    <w:rsid w:val="00375817"/>
    <w:rsid w:val="003758FF"/>
    <w:rsid w:val="00375BC5"/>
    <w:rsid w:val="00376959"/>
    <w:rsid w:val="00376E2D"/>
    <w:rsid w:val="003806C5"/>
    <w:rsid w:val="003806E1"/>
    <w:rsid w:val="00381515"/>
    <w:rsid w:val="003816D4"/>
    <w:rsid w:val="00381EE6"/>
    <w:rsid w:val="0038323B"/>
    <w:rsid w:val="003838E2"/>
    <w:rsid w:val="00386023"/>
    <w:rsid w:val="003867BB"/>
    <w:rsid w:val="003879E3"/>
    <w:rsid w:val="00390092"/>
    <w:rsid w:val="003901F2"/>
    <w:rsid w:val="003910A3"/>
    <w:rsid w:val="003929F1"/>
    <w:rsid w:val="00392A6F"/>
    <w:rsid w:val="0039511E"/>
    <w:rsid w:val="0039642B"/>
    <w:rsid w:val="0039676C"/>
    <w:rsid w:val="003979DD"/>
    <w:rsid w:val="003A018C"/>
    <w:rsid w:val="003A0297"/>
    <w:rsid w:val="003A04CF"/>
    <w:rsid w:val="003A06B8"/>
    <w:rsid w:val="003A0E80"/>
    <w:rsid w:val="003A262A"/>
    <w:rsid w:val="003A2CD1"/>
    <w:rsid w:val="003A3D51"/>
    <w:rsid w:val="003A3FAA"/>
    <w:rsid w:val="003A59A7"/>
    <w:rsid w:val="003A6964"/>
    <w:rsid w:val="003A795F"/>
    <w:rsid w:val="003B2910"/>
    <w:rsid w:val="003B2C15"/>
    <w:rsid w:val="003B591C"/>
    <w:rsid w:val="003B70B1"/>
    <w:rsid w:val="003B7492"/>
    <w:rsid w:val="003C02D5"/>
    <w:rsid w:val="003C049F"/>
    <w:rsid w:val="003C2AB8"/>
    <w:rsid w:val="003C4857"/>
    <w:rsid w:val="003C5709"/>
    <w:rsid w:val="003C65FB"/>
    <w:rsid w:val="003C7583"/>
    <w:rsid w:val="003D065A"/>
    <w:rsid w:val="003D0ED6"/>
    <w:rsid w:val="003D1BC3"/>
    <w:rsid w:val="003D1FBE"/>
    <w:rsid w:val="003D3616"/>
    <w:rsid w:val="003D5AC0"/>
    <w:rsid w:val="003D7300"/>
    <w:rsid w:val="003E00CA"/>
    <w:rsid w:val="003E0612"/>
    <w:rsid w:val="003E0B2B"/>
    <w:rsid w:val="003E2859"/>
    <w:rsid w:val="003E2A9A"/>
    <w:rsid w:val="003E2FF4"/>
    <w:rsid w:val="003E305D"/>
    <w:rsid w:val="003E44F1"/>
    <w:rsid w:val="003E5689"/>
    <w:rsid w:val="003E5F9C"/>
    <w:rsid w:val="003E7D53"/>
    <w:rsid w:val="003E7FFA"/>
    <w:rsid w:val="003F0587"/>
    <w:rsid w:val="003F1BDF"/>
    <w:rsid w:val="003F3CEA"/>
    <w:rsid w:val="003F4ADE"/>
    <w:rsid w:val="003F5368"/>
    <w:rsid w:val="00400CA1"/>
    <w:rsid w:val="004024BA"/>
    <w:rsid w:val="004048E3"/>
    <w:rsid w:val="00404FB8"/>
    <w:rsid w:val="004054CF"/>
    <w:rsid w:val="00405558"/>
    <w:rsid w:val="00406280"/>
    <w:rsid w:val="004072B7"/>
    <w:rsid w:val="0040778B"/>
    <w:rsid w:val="0040786B"/>
    <w:rsid w:val="00407D16"/>
    <w:rsid w:val="00407D33"/>
    <w:rsid w:val="004113DE"/>
    <w:rsid w:val="0041151D"/>
    <w:rsid w:val="0041175A"/>
    <w:rsid w:val="004124FD"/>
    <w:rsid w:val="0041301B"/>
    <w:rsid w:val="00413584"/>
    <w:rsid w:val="00413CF5"/>
    <w:rsid w:val="004142C6"/>
    <w:rsid w:val="004154B3"/>
    <w:rsid w:val="00415AA3"/>
    <w:rsid w:val="00416225"/>
    <w:rsid w:val="004174CC"/>
    <w:rsid w:val="004178EE"/>
    <w:rsid w:val="00420EC8"/>
    <w:rsid w:val="004215F0"/>
    <w:rsid w:val="004228FD"/>
    <w:rsid w:val="00424917"/>
    <w:rsid w:val="00426281"/>
    <w:rsid w:val="00427F1B"/>
    <w:rsid w:val="00430AFC"/>
    <w:rsid w:val="00430BEB"/>
    <w:rsid w:val="00431960"/>
    <w:rsid w:val="00431B29"/>
    <w:rsid w:val="0043258E"/>
    <w:rsid w:val="00433B82"/>
    <w:rsid w:val="00433E3E"/>
    <w:rsid w:val="00434077"/>
    <w:rsid w:val="004350C9"/>
    <w:rsid w:val="00436273"/>
    <w:rsid w:val="00436BEE"/>
    <w:rsid w:val="004374F0"/>
    <w:rsid w:val="00441545"/>
    <w:rsid w:val="00441949"/>
    <w:rsid w:val="00441F3B"/>
    <w:rsid w:val="0044249B"/>
    <w:rsid w:val="0044346A"/>
    <w:rsid w:val="004434C6"/>
    <w:rsid w:val="00444776"/>
    <w:rsid w:val="00444946"/>
    <w:rsid w:val="004449F4"/>
    <w:rsid w:val="00444A53"/>
    <w:rsid w:val="00445798"/>
    <w:rsid w:val="00446CC9"/>
    <w:rsid w:val="00451F2C"/>
    <w:rsid w:val="00452047"/>
    <w:rsid w:val="00452563"/>
    <w:rsid w:val="004529BD"/>
    <w:rsid w:val="0045476A"/>
    <w:rsid w:val="00455132"/>
    <w:rsid w:val="00455797"/>
    <w:rsid w:val="00455ED6"/>
    <w:rsid w:val="004565C3"/>
    <w:rsid w:val="00457DC5"/>
    <w:rsid w:val="00460893"/>
    <w:rsid w:val="00460A9C"/>
    <w:rsid w:val="004616D0"/>
    <w:rsid w:val="00461FE6"/>
    <w:rsid w:val="004623B4"/>
    <w:rsid w:val="00462592"/>
    <w:rsid w:val="0046260B"/>
    <w:rsid w:val="00462616"/>
    <w:rsid w:val="00463198"/>
    <w:rsid w:val="00463560"/>
    <w:rsid w:val="00463D1A"/>
    <w:rsid w:val="004648F2"/>
    <w:rsid w:val="0046539C"/>
    <w:rsid w:val="00465945"/>
    <w:rsid w:val="00466A1D"/>
    <w:rsid w:val="00467C8D"/>
    <w:rsid w:val="004712CD"/>
    <w:rsid w:val="00471E29"/>
    <w:rsid w:val="00472AF7"/>
    <w:rsid w:val="00474130"/>
    <w:rsid w:val="004743DF"/>
    <w:rsid w:val="004745D6"/>
    <w:rsid w:val="004746E2"/>
    <w:rsid w:val="00475092"/>
    <w:rsid w:val="0047553A"/>
    <w:rsid w:val="00476C72"/>
    <w:rsid w:val="004809D3"/>
    <w:rsid w:val="00480D13"/>
    <w:rsid w:val="00482BA5"/>
    <w:rsid w:val="004843A4"/>
    <w:rsid w:val="004859AD"/>
    <w:rsid w:val="004861E0"/>
    <w:rsid w:val="004863C3"/>
    <w:rsid w:val="004863EE"/>
    <w:rsid w:val="004874CB"/>
    <w:rsid w:val="0049355F"/>
    <w:rsid w:val="004944A0"/>
    <w:rsid w:val="00494EBF"/>
    <w:rsid w:val="004954AA"/>
    <w:rsid w:val="004960CB"/>
    <w:rsid w:val="00497B50"/>
    <w:rsid w:val="004A0194"/>
    <w:rsid w:val="004A048C"/>
    <w:rsid w:val="004A0960"/>
    <w:rsid w:val="004A0EBE"/>
    <w:rsid w:val="004A1536"/>
    <w:rsid w:val="004A20CA"/>
    <w:rsid w:val="004A29A6"/>
    <w:rsid w:val="004A2D0A"/>
    <w:rsid w:val="004A35F5"/>
    <w:rsid w:val="004A4B0B"/>
    <w:rsid w:val="004A544B"/>
    <w:rsid w:val="004A68F6"/>
    <w:rsid w:val="004B20ED"/>
    <w:rsid w:val="004B3909"/>
    <w:rsid w:val="004B4E5C"/>
    <w:rsid w:val="004B5415"/>
    <w:rsid w:val="004B594C"/>
    <w:rsid w:val="004B5BEA"/>
    <w:rsid w:val="004B6277"/>
    <w:rsid w:val="004B6A52"/>
    <w:rsid w:val="004B75B5"/>
    <w:rsid w:val="004C260F"/>
    <w:rsid w:val="004C2A05"/>
    <w:rsid w:val="004C3069"/>
    <w:rsid w:val="004C3FFD"/>
    <w:rsid w:val="004C4D6A"/>
    <w:rsid w:val="004C64EA"/>
    <w:rsid w:val="004D04C3"/>
    <w:rsid w:val="004D0BF4"/>
    <w:rsid w:val="004D13BD"/>
    <w:rsid w:val="004D2C2D"/>
    <w:rsid w:val="004D4BBA"/>
    <w:rsid w:val="004D51AD"/>
    <w:rsid w:val="004D686C"/>
    <w:rsid w:val="004D6C8B"/>
    <w:rsid w:val="004D7B8E"/>
    <w:rsid w:val="004E08B2"/>
    <w:rsid w:val="004E1D37"/>
    <w:rsid w:val="004E2081"/>
    <w:rsid w:val="004E2E39"/>
    <w:rsid w:val="004E4506"/>
    <w:rsid w:val="004E53D1"/>
    <w:rsid w:val="004E7444"/>
    <w:rsid w:val="004F03BE"/>
    <w:rsid w:val="004F14BC"/>
    <w:rsid w:val="004F18A3"/>
    <w:rsid w:val="004F1E70"/>
    <w:rsid w:val="004F25D1"/>
    <w:rsid w:val="004F27B9"/>
    <w:rsid w:val="004F296D"/>
    <w:rsid w:val="004F439D"/>
    <w:rsid w:val="004F4887"/>
    <w:rsid w:val="004F4C23"/>
    <w:rsid w:val="004F4C7E"/>
    <w:rsid w:val="004F4D74"/>
    <w:rsid w:val="004F501C"/>
    <w:rsid w:val="004F5933"/>
    <w:rsid w:val="004F64DD"/>
    <w:rsid w:val="004F68CF"/>
    <w:rsid w:val="00500483"/>
    <w:rsid w:val="005007F5"/>
    <w:rsid w:val="00500A3C"/>
    <w:rsid w:val="00501639"/>
    <w:rsid w:val="00501845"/>
    <w:rsid w:val="00502CB4"/>
    <w:rsid w:val="00502F1B"/>
    <w:rsid w:val="00503A9B"/>
    <w:rsid w:val="00504606"/>
    <w:rsid w:val="005049B1"/>
    <w:rsid w:val="00505510"/>
    <w:rsid w:val="0050672C"/>
    <w:rsid w:val="00507C48"/>
    <w:rsid w:val="005101CA"/>
    <w:rsid w:val="005101FE"/>
    <w:rsid w:val="0051056B"/>
    <w:rsid w:val="005131B1"/>
    <w:rsid w:val="00513CC6"/>
    <w:rsid w:val="00513FB8"/>
    <w:rsid w:val="00514638"/>
    <w:rsid w:val="00514B17"/>
    <w:rsid w:val="0051518E"/>
    <w:rsid w:val="00516281"/>
    <w:rsid w:val="005168DB"/>
    <w:rsid w:val="00521579"/>
    <w:rsid w:val="005226F4"/>
    <w:rsid w:val="005238F8"/>
    <w:rsid w:val="00523911"/>
    <w:rsid w:val="00523989"/>
    <w:rsid w:val="00524850"/>
    <w:rsid w:val="00524C65"/>
    <w:rsid w:val="005303C3"/>
    <w:rsid w:val="00530463"/>
    <w:rsid w:val="00531632"/>
    <w:rsid w:val="00531849"/>
    <w:rsid w:val="00531B1B"/>
    <w:rsid w:val="0053243A"/>
    <w:rsid w:val="00532BA3"/>
    <w:rsid w:val="0053360B"/>
    <w:rsid w:val="005338E2"/>
    <w:rsid w:val="005357A5"/>
    <w:rsid w:val="00535E34"/>
    <w:rsid w:val="00536A2D"/>
    <w:rsid w:val="00537BA6"/>
    <w:rsid w:val="005417F6"/>
    <w:rsid w:val="00543902"/>
    <w:rsid w:val="00544230"/>
    <w:rsid w:val="00544C6D"/>
    <w:rsid w:val="0054511E"/>
    <w:rsid w:val="00546803"/>
    <w:rsid w:val="00546D43"/>
    <w:rsid w:val="00547505"/>
    <w:rsid w:val="00547568"/>
    <w:rsid w:val="00547B07"/>
    <w:rsid w:val="00550446"/>
    <w:rsid w:val="00551CA9"/>
    <w:rsid w:val="0055482B"/>
    <w:rsid w:val="00555E61"/>
    <w:rsid w:val="00556B19"/>
    <w:rsid w:val="00557874"/>
    <w:rsid w:val="00557DA2"/>
    <w:rsid w:val="005600FE"/>
    <w:rsid w:val="00560DA1"/>
    <w:rsid w:val="005612D9"/>
    <w:rsid w:val="00563151"/>
    <w:rsid w:val="0056346F"/>
    <w:rsid w:val="00564548"/>
    <w:rsid w:val="00564E3E"/>
    <w:rsid w:val="005675FA"/>
    <w:rsid w:val="005705B3"/>
    <w:rsid w:val="005749B7"/>
    <w:rsid w:val="00574D57"/>
    <w:rsid w:val="00576EAE"/>
    <w:rsid w:val="00577043"/>
    <w:rsid w:val="00577473"/>
    <w:rsid w:val="00577DA4"/>
    <w:rsid w:val="0058056B"/>
    <w:rsid w:val="0058493D"/>
    <w:rsid w:val="00584ADB"/>
    <w:rsid w:val="00585169"/>
    <w:rsid w:val="00586D42"/>
    <w:rsid w:val="00587731"/>
    <w:rsid w:val="005877E6"/>
    <w:rsid w:val="0059043B"/>
    <w:rsid w:val="0059073C"/>
    <w:rsid w:val="00590F47"/>
    <w:rsid w:val="00591470"/>
    <w:rsid w:val="00595A77"/>
    <w:rsid w:val="005973C2"/>
    <w:rsid w:val="005A27A9"/>
    <w:rsid w:val="005A321F"/>
    <w:rsid w:val="005A4331"/>
    <w:rsid w:val="005A4A54"/>
    <w:rsid w:val="005A61F9"/>
    <w:rsid w:val="005B0B9D"/>
    <w:rsid w:val="005B176C"/>
    <w:rsid w:val="005B1B55"/>
    <w:rsid w:val="005B29CF"/>
    <w:rsid w:val="005B38FA"/>
    <w:rsid w:val="005B3D01"/>
    <w:rsid w:val="005B5142"/>
    <w:rsid w:val="005B6904"/>
    <w:rsid w:val="005B7C03"/>
    <w:rsid w:val="005C0688"/>
    <w:rsid w:val="005C0CA2"/>
    <w:rsid w:val="005C1504"/>
    <w:rsid w:val="005C2359"/>
    <w:rsid w:val="005C2510"/>
    <w:rsid w:val="005C4486"/>
    <w:rsid w:val="005D033C"/>
    <w:rsid w:val="005D0428"/>
    <w:rsid w:val="005D05F1"/>
    <w:rsid w:val="005D280B"/>
    <w:rsid w:val="005D4542"/>
    <w:rsid w:val="005D4C8F"/>
    <w:rsid w:val="005D553C"/>
    <w:rsid w:val="005E1CED"/>
    <w:rsid w:val="005E1D6E"/>
    <w:rsid w:val="005E3BC6"/>
    <w:rsid w:val="005E41DC"/>
    <w:rsid w:val="005E4AFD"/>
    <w:rsid w:val="005E550F"/>
    <w:rsid w:val="005E5C0A"/>
    <w:rsid w:val="005F4016"/>
    <w:rsid w:val="005F4028"/>
    <w:rsid w:val="005F4B82"/>
    <w:rsid w:val="005F5926"/>
    <w:rsid w:val="005F6A79"/>
    <w:rsid w:val="005F740D"/>
    <w:rsid w:val="00600976"/>
    <w:rsid w:val="00600CBD"/>
    <w:rsid w:val="00600E4C"/>
    <w:rsid w:val="006017E9"/>
    <w:rsid w:val="00602976"/>
    <w:rsid w:val="00603092"/>
    <w:rsid w:val="006040B3"/>
    <w:rsid w:val="00605857"/>
    <w:rsid w:val="00606AB2"/>
    <w:rsid w:val="00607F24"/>
    <w:rsid w:val="0061053F"/>
    <w:rsid w:val="00610AC1"/>
    <w:rsid w:val="006118DA"/>
    <w:rsid w:val="00613D58"/>
    <w:rsid w:val="006150A3"/>
    <w:rsid w:val="0061535A"/>
    <w:rsid w:val="006174E4"/>
    <w:rsid w:val="00620357"/>
    <w:rsid w:val="00622305"/>
    <w:rsid w:val="00622BD4"/>
    <w:rsid w:val="00623F72"/>
    <w:rsid w:val="00626C44"/>
    <w:rsid w:val="00626D87"/>
    <w:rsid w:val="0063052B"/>
    <w:rsid w:val="0063079A"/>
    <w:rsid w:val="00630B40"/>
    <w:rsid w:val="00630CBE"/>
    <w:rsid w:val="00631794"/>
    <w:rsid w:val="00631830"/>
    <w:rsid w:val="00631842"/>
    <w:rsid w:val="00635033"/>
    <w:rsid w:val="00635637"/>
    <w:rsid w:val="006367DB"/>
    <w:rsid w:val="00637B60"/>
    <w:rsid w:val="0064099F"/>
    <w:rsid w:val="0064144B"/>
    <w:rsid w:val="0064146D"/>
    <w:rsid w:val="00641749"/>
    <w:rsid w:val="00642350"/>
    <w:rsid w:val="006461AC"/>
    <w:rsid w:val="00646BA3"/>
    <w:rsid w:val="0065109A"/>
    <w:rsid w:val="006519B0"/>
    <w:rsid w:val="006521F6"/>
    <w:rsid w:val="00653BDE"/>
    <w:rsid w:val="00656BC0"/>
    <w:rsid w:val="00657372"/>
    <w:rsid w:val="00657A28"/>
    <w:rsid w:val="00657B14"/>
    <w:rsid w:val="00662174"/>
    <w:rsid w:val="006626B9"/>
    <w:rsid w:val="00662D90"/>
    <w:rsid w:val="006646DF"/>
    <w:rsid w:val="00664C3B"/>
    <w:rsid w:val="00665B02"/>
    <w:rsid w:val="006663FA"/>
    <w:rsid w:val="00666662"/>
    <w:rsid w:val="00666842"/>
    <w:rsid w:val="00666A11"/>
    <w:rsid w:val="00670CD5"/>
    <w:rsid w:val="00671F33"/>
    <w:rsid w:val="006730B3"/>
    <w:rsid w:val="00673488"/>
    <w:rsid w:val="0067361C"/>
    <w:rsid w:val="00673C50"/>
    <w:rsid w:val="0067459D"/>
    <w:rsid w:val="0067491B"/>
    <w:rsid w:val="00674F94"/>
    <w:rsid w:val="006766C0"/>
    <w:rsid w:val="006779DD"/>
    <w:rsid w:val="00677BB1"/>
    <w:rsid w:val="00680328"/>
    <w:rsid w:val="00681A09"/>
    <w:rsid w:val="00682417"/>
    <w:rsid w:val="006841FE"/>
    <w:rsid w:val="00684D94"/>
    <w:rsid w:val="006858B3"/>
    <w:rsid w:val="00685909"/>
    <w:rsid w:val="00685E5C"/>
    <w:rsid w:val="006866B0"/>
    <w:rsid w:val="00686C0F"/>
    <w:rsid w:val="00690721"/>
    <w:rsid w:val="006914E8"/>
    <w:rsid w:val="0069171B"/>
    <w:rsid w:val="0069370A"/>
    <w:rsid w:val="00695A74"/>
    <w:rsid w:val="006972B9"/>
    <w:rsid w:val="006978FA"/>
    <w:rsid w:val="006A0CF4"/>
    <w:rsid w:val="006A0E8C"/>
    <w:rsid w:val="006A1A91"/>
    <w:rsid w:val="006A2296"/>
    <w:rsid w:val="006A33BB"/>
    <w:rsid w:val="006A4577"/>
    <w:rsid w:val="006A45C3"/>
    <w:rsid w:val="006A628D"/>
    <w:rsid w:val="006A7422"/>
    <w:rsid w:val="006A754F"/>
    <w:rsid w:val="006B106F"/>
    <w:rsid w:val="006B3282"/>
    <w:rsid w:val="006B3829"/>
    <w:rsid w:val="006B4188"/>
    <w:rsid w:val="006B454D"/>
    <w:rsid w:val="006B5858"/>
    <w:rsid w:val="006B5AE5"/>
    <w:rsid w:val="006B7D72"/>
    <w:rsid w:val="006C015C"/>
    <w:rsid w:val="006C032E"/>
    <w:rsid w:val="006C1B49"/>
    <w:rsid w:val="006C3677"/>
    <w:rsid w:val="006C39E8"/>
    <w:rsid w:val="006C4679"/>
    <w:rsid w:val="006C5144"/>
    <w:rsid w:val="006C6A78"/>
    <w:rsid w:val="006C72CA"/>
    <w:rsid w:val="006C7501"/>
    <w:rsid w:val="006D5452"/>
    <w:rsid w:val="006D5B94"/>
    <w:rsid w:val="006D797B"/>
    <w:rsid w:val="006D7BF6"/>
    <w:rsid w:val="006E30B0"/>
    <w:rsid w:val="006E3AF2"/>
    <w:rsid w:val="006E3C6E"/>
    <w:rsid w:val="006E3D5C"/>
    <w:rsid w:val="006E3FB2"/>
    <w:rsid w:val="006E42C1"/>
    <w:rsid w:val="006E4C48"/>
    <w:rsid w:val="006E4DE7"/>
    <w:rsid w:val="006E596E"/>
    <w:rsid w:val="006E6434"/>
    <w:rsid w:val="006E6608"/>
    <w:rsid w:val="006E6C55"/>
    <w:rsid w:val="006E7A3D"/>
    <w:rsid w:val="006E7CBB"/>
    <w:rsid w:val="006E7D04"/>
    <w:rsid w:val="006F24AB"/>
    <w:rsid w:val="006F342B"/>
    <w:rsid w:val="006F377E"/>
    <w:rsid w:val="006F5768"/>
    <w:rsid w:val="006F5B10"/>
    <w:rsid w:val="006F5B54"/>
    <w:rsid w:val="006F6055"/>
    <w:rsid w:val="0070009E"/>
    <w:rsid w:val="007008BB"/>
    <w:rsid w:val="00701BE3"/>
    <w:rsid w:val="00701E4C"/>
    <w:rsid w:val="00703938"/>
    <w:rsid w:val="00704C57"/>
    <w:rsid w:val="00704F8A"/>
    <w:rsid w:val="00705564"/>
    <w:rsid w:val="00706C44"/>
    <w:rsid w:val="007105F6"/>
    <w:rsid w:val="00711557"/>
    <w:rsid w:val="00714716"/>
    <w:rsid w:val="007149E2"/>
    <w:rsid w:val="007153ED"/>
    <w:rsid w:val="007156B7"/>
    <w:rsid w:val="007159A5"/>
    <w:rsid w:val="00715E70"/>
    <w:rsid w:val="007161F2"/>
    <w:rsid w:val="00716D9E"/>
    <w:rsid w:val="00716E46"/>
    <w:rsid w:val="007172B5"/>
    <w:rsid w:val="0072032F"/>
    <w:rsid w:val="00720730"/>
    <w:rsid w:val="00720CB2"/>
    <w:rsid w:val="00720FAF"/>
    <w:rsid w:val="00721057"/>
    <w:rsid w:val="00721B96"/>
    <w:rsid w:val="00721EB6"/>
    <w:rsid w:val="00723464"/>
    <w:rsid w:val="007240D5"/>
    <w:rsid w:val="00724467"/>
    <w:rsid w:val="00724AEF"/>
    <w:rsid w:val="00724F7B"/>
    <w:rsid w:val="007256F2"/>
    <w:rsid w:val="007264E7"/>
    <w:rsid w:val="007265FB"/>
    <w:rsid w:val="00727936"/>
    <w:rsid w:val="00731337"/>
    <w:rsid w:val="007332BE"/>
    <w:rsid w:val="00733F16"/>
    <w:rsid w:val="00734AF3"/>
    <w:rsid w:val="007352FB"/>
    <w:rsid w:val="00735AC4"/>
    <w:rsid w:val="00735B5A"/>
    <w:rsid w:val="007367CF"/>
    <w:rsid w:val="00736A84"/>
    <w:rsid w:val="0074401C"/>
    <w:rsid w:val="00744E0A"/>
    <w:rsid w:val="00746025"/>
    <w:rsid w:val="00750C5C"/>
    <w:rsid w:val="00750E45"/>
    <w:rsid w:val="00752C53"/>
    <w:rsid w:val="00752D19"/>
    <w:rsid w:val="007536FD"/>
    <w:rsid w:val="0075389B"/>
    <w:rsid w:val="00754644"/>
    <w:rsid w:val="00754D16"/>
    <w:rsid w:val="007556B2"/>
    <w:rsid w:val="00755CF4"/>
    <w:rsid w:val="00756488"/>
    <w:rsid w:val="0075689C"/>
    <w:rsid w:val="007574C7"/>
    <w:rsid w:val="00761374"/>
    <w:rsid w:val="007615CA"/>
    <w:rsid w:val="007635D3"/>
    <w:rsid w:val="007642CC"/>
    <w:rsid w:val="00764E2A"/>
    <w:rsid w:val="00765D10"/>
    <w:rsid w:val="007675F8"/>
    <w:rsid w:val="00767A99"/>
    <w:rsid w:val="00770374"/>
    <w:rsid w:val="00770A75"/>
    <w:rsid w:val="00770D4E"/>
    <w:rsid w:val="00770F38"/>
    <w:rsid w:val="007731C5"/>
    <w:rsid w:val="00773448"/>
    <w:rsid w:val="00774351"/>
    <w:rsid w:val="00775DE5"/>
    <w:rsid w:val="0077657C"/>
    <w:rsid w:val="00776614"/>
    <w:rsid w:val="00776CA7"/>
    <w:rsid w:val="0077715A"/>
    <w:rsid w:val="0077750A"/>
    <w:rsid w:val="00777891"/>
    <w:rsid w:val="007808CC"/>
    <w:rsid w:val="00781EB9"/>
    <w:rsid w:val="007826D5"/>
    <w:rsid w:val="007828B8"/>
    <w:rsid w:val="0078564C"/>
    <w:rsid w:val="00785B4D"/>
    <w:rsid w:val="00785BCF"/>
    <w:rsid w:val="00786D88"/>
    <w:rsid w:val="00787DEE"/>
    <w:rsid w:val="00790937"/>
    <w:rsid w:val="00791E29"/>
    <w:rsid w:val="007922C9"/>
    <w:rsid w:val="007943F3"/>
    <w:rsid w:val="007945D0"/>
    <w:rsid w:val="00794A4A"/>
    <w:rsid w:val="0079534E"/>
    <w:rsid w:val="0079713A"/>
    <w:rsid w:val="00797182"/>
    <w:rsid w:val="00797A4F"/>
    <w:rsid w:val="007A1321"/>
    <w:rsid w:val="007A2DEC"/>
    <w:rsid w:val="007A3859"/>
    <w:rsid w:val="007A4A1A"/>
    <w:rsid w:val="007A4CCA"/>
    <w:rsid w:val="007A4E3F"/>
    <w:rsid w:val="007A500E"/>
    <w:rsid w:val="007A5289"/>
    <w:rsid w:val="007A5752"/>
    <w:rsid w:val="007A7FC9"/>
    <w:rsid w:val="007B523B"/>
    <w:rsid w:val="007B5D64"/>
    <w:rsid w:val="007B6ADA"/>
    <w:rsid w:val="007C17ED"/>
    <w:rsid w:val="007C3F2E"/>
    <w:rsid w:val="007C4A97"/>
    <w:rsid w:val="007C5FF4"/>
    <w:rsid w:val="007C6BA8"/>
    <w:rsid w:val="007C6FC0"/>
    <w:rsid w:val="007C7206"/>
    <w:rsid w:val="007D202E"/>
    <w:rsid w:val="007D2046"/>
    <w:rsid w:val="007D2B06"/>
    <w:rsid w:val="007D32D5"/>
    <w:rsid w:val="007D357D"/>
    <w:rsid w:val="007D450B"/>
    <w:rsid w:val="007D4609"/>
    <w:rsid w:val="007D4C2C"/>
    <w:rsid w:val="007D6B62"/>
    <w:rsid w:val="007D6C3E"/>
    <w:rsid w:val="007D7944"/>
    <w:rsid w:val="007D7D81"/>
    <w:rsid w:val="007E085D"/>
    <w:rsid w:val="007E131D"/>
    <w:rsid w:val="007E1A31"/>
    <w:rsid w:val="007E3091"/>
    <w:rsid w:val="007E30E7"/>
    <w:rsid w:val="007E5F38"/>
    <w:rsid w:val="007E62A2"/>
    <w:rsid w:val="007F0594"/>
    <w:rsid w:val="007F0E49"/>
    <w:rsid w:val="007F1205"/>
    <w:rsid w:val="007F1771"/>
    <w:rsid w:val="007F1968"/>
    <w:rsid w:val="007F1D46"/>
    <w:rsid w:val="007F2D72"/>
    <w:rsid w:val="007F407D"/>
    <w:rsid w:val="007F5498"/>
    <w:rsid w:val="007F549A"/>
    <w:rsid w:val="007F5790"/>
    <w:rsid w:val="007F623C"/>
    <w:rsid w:val="007F64CD"/>
    <w:rsid w:val="008012A8"/>
    <w:rsid w:val="00801F4C"/>
    <w:rsid w:val="008021D1"/>
    <w:rsid w:val="00802BA1"/>
    <w:rsid w:val="00803B49"/>
    <w:rsid w:val="00803FC2"/>
    <w:rsid w:val="00804555"/>
    <w:rsid w:val="0080456F"/>
    <w:rsid w:val="00805526"/>
    <w:rsid w:val="00805B0C"/>
    <w:rsid w:val="00805E25"/>
    <w:rsid w:val="00806FC7"/>
    <w:rsid w:val="0081012E"/>
    <w:rsid w:val="008101A7"/>
    <w:rsid w:val="008102E6"/>
    <w:rsid w:val="0081122E"/>
    <w:rsid w:val="0081267D"/>
    <w:rsid w:val="008132E1"/>
    <w:rsid w:val="008151EA"/>
    <w:rsid w:val="0081540F"/>
    <w:rsid w:val="00815DA8"/>
    <w:rsid w:val="008165CC"/>
    <w:rsid w:val="00817CE5"/>
    <w:rsid w:val="00820925"/>
    <w:rsid w:val="008230AD"/>
    <w:rsid w:val="00823188"/>
    <w:rsid w:val="00824214"/>
    <w:rsid w:val="00825341"/>
    <w:rsid w:val="0082708F"/>
    <w:rsid w:val="008301AB"/>
    <w:rsid w:val="008318D0"/>
    <w:rsid w:val="00832FB1"/>
    <w:rsid w:val="008336E0"/>
    <w:rsid w:val="00834E49"/>
    <w:rsid w:val="00835387"/>
    <w:rsid w:val="00837329"/>
    <w:rsid w:val="00840879"/>
    <w:rsid w:val="00840C6D"/>
    <w:rsid w:val="00841669"/>
    <w:rsid w:val="00841D8C"/>
    <w:rsid w:val="00842BDA"/>
    <w:rsid w:val="00843390"/>
    <w:rsid w:val="008439BC"/>
    <w:rsid w:val="00844916"/>
    <w:rsid w:val="0084591C"/>
    <w:rsid w:val="008474B6"/>
    <w:rsid w:val="008475AD"/>
    <w:rsid w:val="00847BBB"/>
    <w:rsid w:val="00851353"/>
    <w:rsid w:val="00851384"/>
    <w:rsid w:val="0085217E"/>
    <w:rsid w:val="00852761"/>
    <w:rsid w:val="008530CF"/>
    <w:rsid w:val="00853EC0"/>
    <w:rsid w:val="00856662"/>
    <w:rsid w:val="008570A7"/>
    <w:rsid w:val="00857A49"/>
    <w:rsid w:val="00857C57"/>
    <w:rsid w:val="00857CFE"/>
    <w:rsid w:val="008600AB"/>
    <w:rsid w:val="00860267"/>
    <w:rsid w:val="008610B5"/>
    <w:rsid w:val="00861947"/>
    <w:rsid w:val="0086311D"/>
    <w:rsid w:val="00863CB1"/>
    <w:rsid w:val="00867905"/>
    <w:rsid w:val="00870671"/>
    <w:rsid w:val="008715C2"/>
    <w:rsid w:val="00871769"/>
    <w:rsid w:val="0087286D"/>
    <w:rsid w:val="00875963"/>
    <w:rsid w:val="0087689C"/>
    <w:rsid w:val="00876998"/>
    <w:rsid w:val="008776A3"/>
    <w:rsid w:val="0088052D"/>
    <w:rsid w:val="00880AE6"/>
    <w:rsid w:val="00880BB8"/>
    <w:rsid w:val="008851BD"/>
    <w:rsid w:val="00885E6B"/>
    <w:rsid w:val="008867E9"/>
    <w:rsid w:val="00890854"/>
    <w:rsid w:val="00892643"/>
    <w:rsid w:val="00892742"/>
    <w:rsid w:val="0089411F"/>
    <w:rsid w:val="00894B17"/>
    <w:rsid w:val="008972C3"/>
    <w:rsid w:val="008A0191"/>
    <w:rsid w:val="008A1058"/>
    <w:rsid w:val="008A707B"/>
    <w:rsid w:val="008B0386"/>
    <w:rsid w:val="008B0F14"/>
    <w:rsid w:val="008B2656"/>
    <w:rsid w:val="008B2D62"/>
    <w:rsid w:val="008B336C"/>
    <w:rsid w:val="008B3464"/>
    <w:rsid w:val="008B44BC"/>
    <w:rsid w:val="008B499F"/>
    <w:rsid w:val="008B4ADB"/>
    <w:rsid w:val="008B5A74"/>
    <w:rsid w:val="008B77E4"/>
    <w:rsid w:val="008C2510"/>
    <w:rsid w:val="008C3475"/>
    <w:rsid w:val="008C34DC"/>
    <w:rsid w:val="008C3E11"/>
    <w:rsid w:val="008C42FC"/>
    <w:rsid w:val="008C49B3"/>
    <w:rsid w:val="008C5951"/>
    <w:rsid w:val="008C598D"/>
    <w:rsid w:val="008C6761"/>
    <w:rsid w:val="008D1B62"/>
    <w:rsid w:val="008D2AE4"/>
    <w:rsid w:val="008D31E0"/>
    <w:rsid w:val="008D57BF"/>
    <w:rsid w:val="008D5978"/>
    <w:rsid w:val="008D617E"/>
    <w:rsid w:val="008D674C"/>
    <w:rsid w:val="008D7E53"/>
    <w:rsid w:val="008E1179"/>
    <w:rsid w:val="008E2000"/>
    <w:rsid w:val="008E20CA"/>
    <w:rsid w:val="008E22CA"/>
    <w:rsid w:val="008E4B48"/>
    <w:rsid w:val="008E4C13"/>
    <w:rsid w:val="008E68FD"/>
    <w:rsid w:val="008E736E"/>
    <w:rsid w:val="008E79D6"/>
    <w:rsid w:val="008E7EA3"/>
    <w:rsid w:val="008E7F8C"/>
    <w:rsid w:val="008F0702"/>
    <w:rsid w:val="008F086B"/>
    <w:rsid w:val="008F1C97"/>
    <w:rsid w:val="008F27F2"/>
    <w:rsid w:val="008F3DE7"/>
    <w:rsid w:val="008F434B"/>
    <w:rsid w:val="008F4FB8"/>
    <w:rsid w:val="008F6FB6"/>
    <w:rsid w:val="008F7CFF"/>
    <w:rsid w:val="008F7E6C"/>
    <w:rsid w:val="00900A1E"/>
    <w:rsid w:val="00901561"/>
    <w:rsid w:val="00901766"/>
    <w:rsid w:val="00902493"/>
    <w:rsid w:val="00905F69"/>
    <w:rsid w:val="00906BA9"/>
    <w:rsid w:val="00906DC9"/>
    <w:rsid w:val="00910F37"/>
    <w:rsid w:val="0091243E"/>
    <w:rsid w:val="00912B87"/>
    <w:rsid w:val="00913BFD"/>
    <w:rsid w:val="00913F72"/>
    <w:rsid w:val="00914528"/>
    <w:rsid w:val="00914939"/>
    <w:rsid w:val="00914B90"/>
    <w:rsid w:val="00914D6E"/>
    <w:rsid w:val="009157AD"/>
    <w:rsid w:val="00915FBF"/>
    <w:rsid w:val="009209BB"/>
    <w:rsid w:val="00920EAB"/>
    <w:rsid w:val="00920F46"/>
    <w:rsid w:val="00923C6A"/>
    <w:rsid w:val="0092515E"/>
    <w:rsid w:val="009265F4"/>
    <w:rsid w:val="009277EF"/>
    <w:rsid w:val="009306F3"/>
    <w:rsid w:val="009312DF"/>
    <w:rsid w:val="00934152"/>
    <w:rsid w:val="00934C24"/>
    <w:rsid w:val="00941C5B"/>
    <w:rsid w:val="00944074"/>
    <w:rsid w:val="00944636"/>
    <w:rsid w:val="00944832"/>
    <w:rsid w:val="00944939"/>
    <w:rsid w:val="00945192"/>
    <w:rsid w:val="00945C3A"/>
    <w:rsid w:val="0094689B"/>
    <w:rsid w:val="00947239"/>
    <w:rsid w:val="00947498"/>
    <w:rsid w:val="009538C7"/>
    <w:rsid w:val="009549AA"/>
    <w:rsid w:val="00954AED"/>
    <w:rsid w:val="0095686B"/>
    <w:rsid w:val="00961D77"/>
    <w:rsid w:val="00962713"/>
    <w:rsid w:val="00962F24"/>
    <w:rsid w:val="0096469D"/>
    <w:rsid w:val="009657A0"/>
    <w:rsid w:val="0096703F"/>
    <w:rsid w:val="0097091E"/>
    <w:rsid w:val="00971AC4"/>
    <w:rsid w:val="00971E7F"/>
    <w:rsid w:val="009731D3"/>
    <w:rsid w:val="0097332E"/>
    <w:rsid w:val="00973ED6"/>
    <w:rsid w:val="00974CD0"/>
    <w:rsid w:val="00975D4E"/>
    <w:rsid w:val="00976129"/>
    <w:rsid w:val="00976431"/>
    <w:rsid w:val="009768CE"/>
    <w:rsid w:val="0098023C"/>
    <w:rsid w:val="00980269"/>
    <w:rsid w:val="009808A1"/>
    <w:rsid w:val="00981A6A"/>
    <w:rsid w:val="009824C9"/>
    <w:rsid w:val="00983268"/>
    <w:rsid w:val="009835DA"/>
    <w:rsid w:val="0098408A"/>
    <w:rsid w:val="009846E0"/>
    <w:rsid w:val="0098745C"/>
    <w:rsid w:val="009900D8"/>
    <w:rsid w:val="00990B42"/>
    <w:rsid w:val="00990EA2"/>
    <w:rsid w:val="0099182F"/>
    <w:rsid w:val="00992FAD"/>
    <w:rsid w:val="009939B2"/>
    <w:rsid w:val="0099529B"/>
    <w:rsid w:val="00996715"/>
    <w:rsid w:val="00997716"/>
    <w:rsid w:val="009A0217"/>
    <w:rsid w:val="009A0302"/>
    <w:rsid w:val="009A0F44"/>
    <w:rsid w:val="009A1B6C"/>
    <w:rsid w:val="009A1EAA"/>
    <w:rsid w:val="009A2246"/>
    <w:rsid w:val="009A5343"/>
    <w:rsid w:val="009A5440"/>
    <w:rsid w:val="009A73B7"/>
    <w:rsid w:val="009B006D"/>
    <w:rsid w:val="009B12E0"/>
    <w:rsid w:val="009B1771"/>
    <w:rsid w:val="009B3590"/>
    <w:rsid w:val="009B450A"/>
    <w:rsid w:val="009B4A1D"/>
    <w:rsid w:val="009B566F"/>
    <w:rsid w:val="009B5977"/>
    <w:rsid w:val="009B5AE8"/>
    <w:rsid w:val="009B5C88"/>
    <w:rsid w:val="009B6665"/>
    <w:rsid w:val="009B7C8B"/>
    <w:rsid w:val="009C0C22"/>
    <w:rsid w:val="009C30E9"/>
    <w:rsid w:val="009C3C32"/>
    <w:rsid w:val="009C43B6"/>
    <w:rsid w:val="009C4EA0"/>
    <w:rsid w:val="009C5C40"/>
    <w:rsid w:val="009D0E1B"/>
    <w:rsid w:val="009D1EBC"/>
    <w:rsid w:val="009D2B78"/>
    <w:rsid w:val="009D2C8D"/>
    <w:rsid w:val="009D3FFA"/>
    <w:rsid w:val="009D46AE"/>
    <w:rsid w:val="009D5C80"/>
    <w:rsid w:val="009D5E58"/>
    <w:rsid w:val="009E0AC9"/>
    <w:rsid w:val="009E22AF"/>
    <w:rsid w:val="009E2365"/>
    <w:rsid w:val="009E31C1"/>
    <w:rsid w:val="009E4C00"/>
    <w:rsid w:val="009E5A34"/>
    <w:rsid w:val="009E5ECF"/>
    <w:rsid w:val="009E677C"/>
    <w:rsid w:val="009F0A48"/>
    <w:rsid w:val="009F2074"/>
    <w:rsid w:val="009F274A"/>
    <w:rsid w:val="009F2878"/>
    <w:rsid w:val="009F2CFE"/>
    <w:rsid w:val="009F4A95"/>
    <w:rsid w:val="009F4DED"/>
    <w:rsid w:val="009F53F2"/>
    <w:rsid w:val="009F797D"/>
    <w:rsid w:val="00A00508"/>
    <w:rsid w:val="00A005E3"/>
    <w:rsid w:val="00A00647"/>
    <w:rsid w:val="00A00AFB"/>
    <w:rsid w:val="00A013E5"/>
    <w:rsid w:val="00A020AE"/>
    <w:rsid w:val="00A025F1"/>
    <w:rsid w:val="00A02853"/>
    <w:rsid w:val="00A036BA"/>
    <w:rsid w:val="00A0468B"/>
    <w:rsid w:val="00A05341"/>
    <w:rsid w:val="00A05AD9"/>
    <w:rsid w:val="00A05DC6"/>
    <w:rsid w:val="00A05F0C"/>
    <w:rsid w:val="00A06204"/>
    <w:rsid w:val="00A1004A"/>
    <w:rsid w:val="00A1025E"/>
    <w:rsid w:val="00A11C5F"/>
    <w:rsid w:val="00A11E92"/>
    <w:rsid w:val="00A1254F"/>
    <w:rsid w:val="00A12AB4"/>
    <w:rsid w:val="00A1324B"/>
    <w:rsid w:val="00A132CF"/>
    <w:rsid w:val="00A13B62"/>
    <w:rsid w:val="00A13ED0"/>
    <w:rsid w:val="00A15AEA"/>
    <w:rsid w:val="00A167E9"/>
    <w:rsid w:val="00A20189"/>
    <w:rsid w:val="00A206F3"/>
    <w:rsid w:val="00A208E6"/>
    <w:rsid w:val="00A209DF"/>
    <w:rsid w:val="00A212AD"/>
    <w:rsid w:val="00A230BE"/>
    <w:rsid w:val="00A241B1"/>
    <w:rsid w:val="00A26DE6"/>
    <w:rsid w:val="00A276B2"/>
    <w:rsid w:val="00A27756"/>
    <w:rsid w:val="00A2783F"/>
    <w:rsid w:val="00A27860"/>
    <w:rsid w:val="00A301D4"/>
    <w:rsid w:val="00A30ABE"/>
    <w:rsid w:val="00A31753"/>
    <w:rsid w:val="00A31D6E"/>
    <w:rsid w:val="00A3221D"/>
    <w:rsid w:val="00A32296"/>
    <w:rsid w:val="00A32C3C"/>
    <w:rsid w:val="00A331B4"/>
    <w:rsid w:val="00A344BE"/>
    <w:rsid w:val="00A344C9"/>
    <w:rsid w:val="00A347CA"/>
    <w:rsid w:val="00A35C4E"/>
    <w:rsid w:val="00A40FCE"/>
    <w:rsid w:val="00A413F5"/>
    <w:rsid w:val="00A4195C"/>
    <w:rsid w:val="00A420DC"/>
    <w:rsid w:val="00A42139"/>
    <w:rsid w:val="00A43B11"/>
    <w:rsid w:val="00A43B41"/>
    <w:rsid w:val="00A44D27"/>
    <w:rsid w:val="00A44FB9"/>
    <w:rsid w:val="00A4521E"/>
    <w:rsid w:val="00A45A61"/>
    <w:rsid w:val="00A4611C"/>
    <w:rsid w:val="00A471B8"/>
    <w:rsid w:val="00A47A45"/>
    <w:rsid w:val="00A50795"/>
    <w:rsid w:val="00A50E81"/>
    <w:rsid w:val="00A514FD"/>
    <w:rsid w:val="00A51914"/>
    <w:rsid w:val="00A521FF"/>
    <w:rsid w:val="00A53469"/>
    <w:rsid w:val="00A54518"/>
    <w:rsid w:val="00A54AF5"/>
    <w:rsid w:val="00A54D42"/>
    <w:rsid w:val="00A554D9"/>
    <w:rsid w:val="00A60A3A"/>
    <w:rsid w:val="00A6298D"/>
    <w:rsid w:val="00A63D65"/>
    <w:rsid w:val="00A645F1"/>
    <w:rsid w:val="00A65978"/>
    <w:rsid w:val="00A6608D"/>
    <w:rsid w:val="00A66688"/>
    <w:rsid w:val="00A6689C"/>
    <w:rsid w:val="00A66CDF"/>
    <w:rsid w:val="00A67383"/>
    <w:rsid w:val="00A67FC2"/>
    <w:rsid w:val="00A70E73"/>
    <w:rsid w:val="00A71DFF"/>
    <w:rsid w:val="00A73846"/>
    <w:rsid w:val="00A758BF"/>
    <w:rsid w:val="00A77E9E"/>
    <w:rsid w:val="00A80055"/>
    <w:rsid w:val="00A8064E"/>
    <w:rsid w:val="00A81582"/>
    <w:rsid w:val="00A82D87"/>
    <w:rsid w:val="00A838C9"/>
    <w:rsid w:val="00A84DEB"/>
    <w:rsid w:val="00A85034"/>
    <w:rsid w:val="00A8535E"/>
    <w:rsid w:val="00A854F0"/>
    <w:rsid w:val="00A86878"/>
    <w:rsid w:val="00A91679"/>
    <w:rsid w:val="00A9456E"/>
    <w:rsid w:val="00A94EC0"/>
    <w:rsid w:val="00A964F9"/>
    <w:rsid w:val="00A96994"/>
    <w:rsid w:val="00A96ACC"/>
    <w:rsid w:val="00AA08EF"/>
    <w:rsid w:val="00AA0BB6"/>
    <w:rsid w:val="00AA21D8"/>
    <w:rsid w:val="00AA2D4E"/>
    <w:rsid w:val="00AA3621"/>
    <w:rsid w:val="00AA3D7A"/>
    <w:rsid w:val="00AA4095"/>
    <w:rsid w:val="00AA433E"/>
    <w:rsid w:val="00AA59C1"/>
    <w:rsid w:val="00AA67FA"/>
    <w:rsid w:val="00AA6B0D"/>
    <w:rsid w:val="00AB02BE"/>
    <w:rsid w:val="00AB0457"/>
    <w:rsid w:val="00AB0565"/>
    <w:rsid w:val="00AB2700"/>
    <w:rsid w:val="00AB3258"/>
    <w:rsid w:val="00AB3732"/>
    <w:rsid w:val="00AB4066"/>
    <w:rsid w:val="00AB508F"/>
    <w:rsid w:val="00AB5198"/>
    <w:rsid w:val="00AB6496"/>
    <w:rsid w:val="00AB7ED7"/>
    <w:rsid w:val="00AC0809"/>
    <w:rsid w:val="00AC0F57"/>
    <w:rsid w:val="00AC13F6"/>
    <w:rsid w:val="00AC152B"/>
    <w:rsid w:val="00AC1811"/>
    <w:rsid w:val="00AC2229"/>
    <w:rsid w:val="00AC29D0"/>
    <w:rsid w:val="00AC3595"/>
    <w:rsid w:val="00AC450C"/>
    <w:rsid w:val="00AC49DA"/>
    <w:rsid w:val="00AC56F1"/>
    <w:rsid w:val="00AC5DC6"/>
    <w:rsid w:val="00AC62B6"/>
    <w:rsid w:val="00AC6363"/>
    <w:rsid w:val="00AC7423"/>
    <w:rsid w:val="00AC7FA1"/>
    <w:rsid w:val="00AD103F"/>
    <w:rsid w:val="00AD1FB7"/>
    <w:rsid w:val="00AD25C9"/>
    <w:rsid w:val="00AD25EE"/>
    <w:rsid w:val="00AD499C"/>
    <w:rsid w:val="00AD4C81"/>
    <w:rsid w:val="00AD7B2F"/>
    <w:rsid w:val="00AD7C7A"/>
    <w:rsid w:val="00AE0579"/>
    <w:rsid w:val="00AE10B7"/>
    <w:rsid w:val="00AE1EF6"/>
    <w:rsid w:val="00AE45F3"/>
    <w:rsid w:val="00AE59FC"/>
    <w:rsid w:val="00AE5EDE"/>
    <w:rsid w:val="00AE6E45"/>
    <w:rsid w:val="00AE70EF"/>
    <w:rsid w:val="00AE78F5"/>
    <w:rsid w:val="00AF03F1"/>
    <w:rsid w:val="00AF0724"/>
    <w:rsid w:val="00AF09E5"/>
    <w:rsid w:val="00AF0A86"/>
    <w:rsid w:val="00AF1BFB"/>
    <w:rsid w:val="00AF1FFA"/>
    <w:rsid w:val="00AF3033"/>
    <w:rsid w:val="00AF4476"/>
    <w:rsid w:val="00AF4E37"/>
    <w:rsid w:val="00AF5187"/>
    <w:rsid w:val="00AF6C30"/>
    <w:rsid w:val="00AF6FB2"/>
    <w:rsid w:val="00B00EAD"/>
    <w:rsid w:val="00B024EE"/>
    <w:rsid w:val="00B028F8"/>
    <w:rsid w:val="00B0599E"/>
    <w:rsid w:val="00B05BCC"/>
    <w:rsid w:val="00B05EDF"/>
    <w:rsid w:val="00B10DD2"/>
    <w:rsid w:val="00B138B9"/>
    <w:rsid w:val="00B13926"/>
    <w:rsid w:val="00B13A78"/>
    <w:rsid w:val="00B14788"/>
    <w:rsid w:val="00B15C9B"/>
    <w:rsid w:val="00B1621A"/>
    <w:rsid w:val="00B169FE"/>
    <w:rsid w:val="00B17DD4"/>
    <w:rsid w:val="00B17F46"/>
    <w:rsid w:val="00B20FBA"/>
    <w:rsid w:val="00B20FBD"/>
    <w:rsid w:val="00B21414"/>
    <w:rsid w:val="00B217FA"/>
    <w:rsid w:val="00B23325"/>
    <w:rsid w:val="00B24121"/>
    <w:rsid w:val="00B248CA"/>
    <w:rsid w:val="00B24EFB"/>
    <w:rsid w:val="00B25540"/>
    <w:rsid w:val="00B2687D"/>
    <w:rsid w:val="00B27E06"/>
    <w:rsid w:val="00B312BA"/>
    <w:rsid w:val="00B31392"/>
    <w:rsid w:val="00B318AE"/>
    <w:rsid w:val="00B332DB"/>
    <w:rsid w:val="00B33C0D"/>
    <w:rsid w:val="00B34381"/>
    <w:rsid w:val="00B34A06"/>
    <w:rsid w:val="00B36959"/>
    <w:rsid w:val="00B37095"/>
    <w:rsid w:val="00B37CD3"/>
    <w:rsid w:val="00B409D9"/>
    <w:rsid w:val="00B41A23"/>
    <w:rsid w:val="00B41E61"/>
    <w:rsid w:val="00B42A29"/>
    <w:rsid w:val="00B42C88"/>
    <w:rsid w:val="00B43406"/>
    <w:rsid w:val="00B44276"/>
    <w:rsid w:val="00B45F91"/>
    <w:rsid w:val="00B46381"/>
    <w:rsid w:val="00B47B8B"/>
    <w:rsid w:val="00B50D9B"/>
    <w:rsid w:val="00B51979"/>
    <w:rsid w:val="00B525B3"/>
    <w:rsid w:val="00B53C09"/>
    <w:rsid w:val="00B53C7C"/>
    <w:rsid w:val="00B544D2"/>
    <w:rsid w:val="00B5550E"/>
    <w:rsid w:val="00B56CA8"/>
    <w:rsid w:val="00B575CB"/>
    <w:rsid w:val="00B57709"/>
    <w:rsid w:val="00B6009B"/>
    <w:rsid w:val="00B60249"/>
    <w:rsid w:val="00B6054B"/>
    <w:rsid w:val="00B60FC3"/>
    <w:rsid w:val="00B6176C"/>
    <w:rsid w:val="00B6327D"/>
    <w:rsid w:val="00B63A14"/>
    <w:rsid w:val="00B6427C"/>
    <w:rsid w:val="00B66004"/>
    <w:rsid w:val="00B660BB"/>
    <w:rsid w:val="00B663BB"/>
    <w:rsid w:val="00B67133"/>
    <w:rsid w:val="00B67E60"/>
    <w:rsid w:val="00B7057D"/>
    <w:rsid w:val="00B7067D"/>
    <w:rsid w:val="00B70DCD"/>
    <w:rsid w:val="00B7124C"/>
    <w:rsid w:val="00B71A24"/>
    <w:rsid w:val="00B7454F"/>
    <w:rsid w:val="00B74868"/>
    <w:rsid w:val="00B80154"/>
    <w:rsid w:val="00B82BB1"/>
    <w:rsid w:val="00B846EA"/>
    <w:rsid w:val="00B9066F"/>
    <w:rsid w:val="00B90FBE"/>
    <w:rsid w:val="00B91960"/>
    <w:rsid w:val="00B925C2"/>
    <w:rsid w:val="00B940B0"/>
    <w:rsid w:val="00B96232"/>
    <w:rsid w:val="00BA0226"/>
    <w:rsid w:val="00BA11DE"/>
    <w:rsid w:val="00BA21A0"/>
    <w:rsid w:val="00BA2398"/>
    <w:rsid w:val="00BA2EC1"/>
    <w:rsid w:val="00BA3150"/>
    <w:rsid w:val="00BA34DD"/>
    <w:rsid w:val="00BA5280"/>
    <w:rsid w:val="00BA59C0"/>
    <w:rsid w:val="00BA5B62"/>
    <w:rsid w:val="00BA670E"/>
    <w:rsid w:val="00BA6999"/>
    <w:rsid w:val="00BB206E"/>
    <w:rsid w:val="00BB3E65"/>
    <w:rsid w:val="00BB403D"/>
    <w:rsid w:val="00BB4590"/>
    <w:rsid w:val="00BB5B96"/>
    <w:rsid w:val="00BB703A"/>
    <w:rsid w:val="00BB76DE"/>
    <w:rsid w:val="00BC06A4"/>
    <w:rsid w:val="00BC0C65"/>
    <w:rsid w:val="00BC1504"/>
    <w:rsid w:val="00BC3020"/>
    <w:rsid w:val="00BC33EF"/>
    <w:rsid w:val="00BC3843"/>
    <w:rsid w:val="00BC44EC"/>
    <w:rsid w:val="00BC46FC"/>
    <w:rsid w:val="00BC4D32"/>
    <w:rsid w:val="00BC5DEE"/>
    <w:rsid w:val="00BC6C8F"/>
    <w:rsid w:val="00BC70EB"/>
    <w:rsid w:val="00BC77EE"/>
    <w:rsid w:val="00BD04E9"/>
    <w:rsid w:val="00BD1B29"/>
    <w:rsid w:val="00BD31B3"/>
    <w:rsid w:val="00BD320F"/>
    <w:rsid w:val="00BD7B51"/>
    <w:rsid w:val="00BD7EE1"/>
    <w:rsid w:val="00BE013F"/>
    <w:rsid w:val="00BE1E2D"/>
    <w:rsid w:val="00BE203D"/>
    <w:rsid w:val="00BE3061"/>
    <w:rsid w:val="00BE36D3"/>
    <w:rsid w:val="00BE55A0"/>
    <w:rsid w:val="00BE689B"/>
    <w:rsid w:val="00BE7023"/>
    <w:rsid w:val="00BE71C3"/>
    <w:rsid w:val="00BE7D40"/>
    <w:rsid w:val="00BF10BB"/>
    <w:rsid w:val="00BF1A76"/>
    <w:rsid w:val="00BF1FD9"/>
    <w:rsid w:val="00BF25E9"/>
    <w:rsid w:val="00BF4AC7"/>
    <w:rsid w:val="00BF618C"/>
    <w:rsid w:val="00BF6AE1"/>
    <w:rsid w:val="00BF729D"/>
    <w:rsid w:val="00C02434"/>
    <w:rsid w:val="00C02E23"/>
    <w:rsid w:val="00C05C49"/>
    <w:rsid w:val="00C063A3"/>
    <w:rsid w:val="00C07686"/>
    <w:rsid w:val="00C10657"/>
    <w:rsid w:val="00C10E83"/>
    <w:rsid w:val="00C1106B"/>
    <w:rsid w:val="00C13951"/>
    <w:rsid w:val="00C13E1D"/>
    <w:rsid w:val="00C169DF"/>
    <w:rsid w:val="00C17902"/>
    <w:rsid w:val="00C17E9B"/>
    <w:rsid w:val="00C2126B"/>
    <w:rsid w:val="00C21D71"/>
    <w:rsid w:val="00C22063"/>
    <w:rsid w:val="00C233C4"/>
    <w:rsid w:val="00C239AF"/>
    <w:rsid w:val="00C247D8"/>
    <w:rsid w:val="00C3006A"/>
    <w:rsid w:val="00C31DDF"/>
    <w:rsid w:val="00C31F31"/>
    <w:rsid w:val="00C3365C"/>
    <w:rsid w:val="00C336B1"/>
    <w:rsid w:val="00C34FE3"/>
    <w:rsid w:val="00C364C8"/>
    <w:rsid w:val="00C37179"/>
    <w:rsid w:val="00C409AD"/>
    <w:rsid w:val="00C409FF"/>
    <w:rsid w:val="00C41B29"/>
    <w:rsid w:val="00C424CF"/>
    <w:rsid w:val="00C42E37"/>
    <w:rsid w:val="00C443D6"/>
    <w:rsid w:val="00C45A3B"/>
    <w:rsid w:val="00C45EA6"/>
    <w:rsid w:val="00C46BF4"/>
    <w:rsid w:val="00C475A6"/>
    <w:rsid w:val="00C5176E"/>
    <w:rsid w:val="00C524B3"/>
    <w:rsid w:val="00C526CB"/>
    <w:rsid w:val="00C53902"/>
    <w:rsid w:val="00C54D9C"/>
    <w:rsid w:val="00C56544"/>
    <w:rsid w:val="00C57151"/>
    <w:rsid w:val="00C57B99"/>
    <w:rsid w:val="00C600F6"/>
    <w:rsid w:val="00C62BD6"/>
    <w:rsid w:val="00C62C79"/>
    <w:rsid w:val="00C64C57"/>
    <w:rsid w:val="00C64F35"/>
    <w:rsid w:val="00C653FE"/>
    <w:rsid w:val="00C706A7"/>
    <w:rsid w:val="00C717AA"/>
    <w:rsid w:val="00C727CA"/>
    <w:rsid w:val="00C75344"/>
    <w:rsid w:val="00C75F40"/>
    <w:rsid w:val="00C806B8"/>
    <w:rsid w:val="00C80971"/>
    <w:rsid w:val="00C81196"/>
    <w:rsid w:val="00C81566"/>
    <w:rsid w:val="00C83605"/>
    <w:rsid w:val="00C83730"/>
    <w:rsid w:val="00C839A7"/>
    <w:rsid w:val="00C83FF7"/>
    <w:rsid w:val="00C84660"/>
    <w:rsid w:val="00C85D0C"/>
    <w:rsid w:val="00C8727C"/>
    <w:rsid w:val="00C87886"/>
    <w:rsid w:val="00C90E50"/>
    <w:rsid w:val="00C91881"/>
    <w:rsid w:val="00C91BA1"/>
    <w:rsid w:val="00C93137"/>
    <w:rsid w:val="00C935E2"/>
    <w:rsid w:val="00C94437"/>
    <w:rsid w:val="00C951B2"/>
    <w:rsid w:val="00C975CC"/>
    <w:rsid w:val="00C97A96"/>
    <w:rsid w:val="00C97B73"/>
    <w:rsid w:val="00CA3162"/>
    <w:rsid w:val="00CA3263"/>
    <w:rsid w:val="00CA37A8"/>
    <w:rsid w:val="00CA4665"/>
    <w:rsid w:val="00CA4956"/>
    <w:rsid w:val="00CA4A62"/>
    <w:rsid w:val="00CA66F5"/>
    <w:rsid w:val="00CA68F5"/>
    <w:rsid w:val="00CA723D"/>
    <w:rsid w:val="00CB4705"/>
    <w:rsid w:val="00CB4D49"/>
    <w:rsid w:val="00CB5EED"/>
    <w:rsid w:val="00CC066A"/>
    <w:rsid w:val="00CC253A"/>
    <w:rsid w:val="00CC2C56"/>
    <w:rsid w:val="00CC57F2"/>
    <w:rsid w:val="00CC5A93"/>
    <w:rsid w:val="00CC6413"/>
    <w:rsid w:val="00CD0281"/>
    <w:rsid w:val="00CD0C34"/>
    <w:rsid w:val="00CD190F"/>
    <w:rsid w:val="00CD3DBF"/>
    <w:rsid w:val="00CD5140"/>
    <w:rsid w:val="00CD7556"/>
    <w:rsid w:val="00CD7B9A"/>
    <w:rsid w:val="00CE1046"/>
    <w:rsid w:val="00CE145A"/>
    <w:rsid w:val="00CE1F26"/>
    <w:rsid w:val="00CE2A14"/>
    <w:rsid w:val="00CE2BA8"/>
    <w:rsid w:val="00CE2CE2"/>
    <w:rsid w:val="00CE3FC9"/>
    <w:rsid w:val="00CE667D"/>
    <w:rsid w:val="00CE69BF"/>
    <w:rsid w:val="00CF00B5"/>
    <w:rsid w:val="00CF18B6"/>
    <w:rsid w:val="00CF1CAD"/>
    <w:rsid w:val="00CF30FD"/>
    <w:rsid w:val="00CF34B2"/>
    <w:rsid w:val="00CF3609"/>
    <w:rsid w:val="00CF38AB"/>
    <w:rsid w:val="00CF3C60"/>
    <w:rsid w:val="00CF3EFE"/>
    <w:rsid w:val="00CF534D"/>
    <w:rsid w:val="00CF5B54"/>
    <w:rsid w:val="00CF5F9D"/>
    <w:rsid w:val="00CF7356"/>
    <w:rsid w:val="00D01FFC"/>
    <w:rsid w:val="00D020B2"/>
    <w:rsid w:val="00D0281C"/>
    <w:rsid w:val="00D044F8"/>
    <w:rsid w:val="00D04652"/>
    <w:rsid w:val="00D046E5"/>
    <w:rsid w:val="00D04B7A"/>
    <w:rsid w:val="00D04D4E"/>
    <w:rsid w:val="00D0622A"/>
    <w:rsid w:val="00D074A4"/>
    <w:rsid w:val="00D07B4E"/>
    <w:rsid w:val="00D101BD"/>
    <w:rsid w:val="00D10CBC"/>
    <w:rsid w:val="00D11A65"/>
    <w:rsid w:val="00D11E6C"/>
    <w:rsid w:val="00D12C90"/>
    <w:rsid w:val="00D13911"/>
    <w:rsid w:val="00D1418D"/>
    <w:rsid w:val="00D14594"/>
    <w:rsid w:val="00D14F1C"/>
    <w:rsid w:val="00D14F9B"/>
    <w:rsid w:val="00D15B19"/>
    <w:rsid w:val="00D16692"/>
    <w:rsid w:val="00D16A8D"/>
    <w:rsid w:val="00D17D64"/>
    <w:rsid w:val="00D21AE9"/>
    <w:rsid w:val="00D22D42"/>
    <w:rsid w:val="00D22D74"/>
    <w:rsid w:val="00D2321C"/>
    <w:rsid w:val="00D236C6"/>
    <w:rsid w:val="00D247E0"/>
    <w:rsid w:val="00D25810"/>
    <w:rsid w:val="00D25895"/>
    <w:rsid w:val="00D25EB3"/>
    <w:rsid w:val="00D27CD0"/>
    <w:rsid w:val="00D31236"/>
    <w:rsid w:val="00D32125"/>
    <w:rsid w:val="00D321B9"/>
    <w:rsid w:val="00D332BD"/>
    <w:rsid w:val="00D33BA9"/>
    <w:rsid w:val="00D33CEF"/>
    <w:rsid w:val="00D35955"/>
    <w:rsid w:val="00D35B70"/>
    <w:rsid w:val="00D36172"/>
    <w:rsid w:val="00D36FD4"/>
    <w:rsid w:val="00D4089A"/>
    <w:rsid w:val="00D408EC"/>
    <w:rsid w:val="00D42393"/>
    <w:rsid w:val="00D42DFC"/>
    <w:rsid w:val="00D43C1B"/>
    <w:rsid w:val="00D44AA1"/>
    <w:rsid w:val="00D458E3"/>
    <w:rsid w:val="00D476F1"/>
    <w:rsid w:val="00D50262"/>
    <w:rsid w:val="00D530D0"/>
    <w:rsid w:val="00D535C4"/>
    <w:rsid w:val="00D53CA2"/>
    <w:rsid w:val="00D53E5B"/>
    <w:rsid w:val="00D543FC"/>
    <w:rsid w:val="00D55644"/>
    <w:rsid w:val="00D55740"/>
    <w:rsid w:val="00D55749"/>
    <w:rsid w:val="00D56411"/>
    <w:rsid w:val="00D56A95"/>
    <w:rsid w:val="00D57144"/>
    <w:rsid w:val="00D57422"/>
    <w:rsid w:val="00D57572"/>
    <w:rsid w:val="00D575CC"/>
    <w:rsid w:val="00D6001B"/>
    <w:rsid w:val="00D614A1"/>
    <w:rsid w:val="00D61B02"/>
    <w:rsid w:val="00D61FA7"/>
    <w:rsid w:val="00D624D6"/>
    <w:rsid w:val="00D62BEE"/>
    <w:rsid w:val="00D62C8F"/>
    <w:rsid w:val="00D65985"/>
    <w:rsid w:val="00D65E8A"/>
    <w:rsid w:val="00D66048"/>
    <w:rsid w:val="00D66FFE"/>
    <w:rsid w:val="00D723D2"/>
    <w:rsid w:val="00D73F5E"/>
    <w:rsid w:val="00D74557"/>
    <w:rsid w:val="00D745EC"/>
    <w:rsid w:val="00D74D46"/>
    <w:rsid w:val="00D753BD"/>
    <w:rsid w:val="00D80484"/>
    <w:rsid w:val="00D81326"/>
    <w:rsid w:val="00D81BBF"/>
    <w:rsid w:val="00D826C0"/>
    <w:rsid w:val="00D8463F"/>
    <w:rsid w:val="00D84EF7"/>
    <w:rsid w:val="00D8706A"/>
    <w:rsid w:val="00D903D6"/>
    <w:rsid w:val="00D9053E"/>
    <w:rsid w:val="00D909B0"/>
    <w:rsid w:val="00D9106E"/>
    <w:rsid w:val="00D93B46"/>
    <w:rsid w:val="00D95290"/>
    <w:rsid w:val="00D95C45"/>
    <w:rsid w:val="00D9613C"/>
    <w:rsid w:val="00D969EA"/>
    <w:rsid w:val="00D976B8"/>
    <w:rsid w:val="00D97D14"/>
    <w:rsid w:val="00D97F6F"/>
    <w:rsid w:val="00D97FAF"/>
    <w:rsid w:val="00DA038B"/>
    <w:rsid w:val="00DA0C91"/>
    <w:rsid w:val="00DA1AF8"/>
    <w:rsid w:val="00DA3801"/>
    <w:rsid w:val="00DA3F3C"/>
    <w:rsid w:val="00DA605B"/>
    <w:rsid w:val="00DA7B52"/>
    <w:rsid w:val="00DB008F"/>
    <w:rsid w:val="00DB0F30"/>
    <w:rsid w:val="00DB123B"/>
    <w:rsid w:val="00DB207C"/>
    <w:rsid w:val="00DB2C0D"/>
    <w:rsid w:val="00DB3917"/>
    <w:rsid w:val="00DB39D8"/>
    <w:rsid w:val="00DB3EB7"/>
    <w:rsid w:val="00DB41D1"/>
    <w:rsid w:val="00DB48CB"/>
    <w:rsid w:val="00DB4C98"/>
    <w:rsid w:val="00DB58BB"/>
    <w:rsid w:val="00DB7504"/>
    <w:rsid w:val="00DC0067"/>
    <w:rsid w:val="00DC0390"/>
    <w:rsid w:val="00DC0745"/>
    <w:rsid w:val="00DC191A"/>
    <w:rsid w:val="00DC1A33"/>
    <w:rsid w:val="00DC2AC0"/>
    <w:rsid w:val="00DC2EDF"/>
    <w:rsid w:val="00DC3121"/>
    <w:rsid w:val="00DC372F"/>
    <w:rsid w:val="00DC4EC5"/>
    <w:rsid w:val="00DC53F7"/>
    <w:rsid w:val="00DC6360"/>
    <w:rsid w:val="00DC6541"/>
    <w:rsid w:val="00DC67BB"/>
    <w:rsid w:val="00DC7146"/>
    <w:rsid w:val="00DC7E7D"/>
    <w:rsid w:val="00DD0468"/>
    <w:rsid w:val="00DD0684"/>
    <w:rsid w:val="00DD27F5"/>
    <w:rsid w:val="00DD2992"/>
    <w:rsid w:val="00DD3305"/>
    <w:rsid w:val="00DD3637"/>
    <w:rsid w:val="00DD5BD8"/>
    <w:rsid w:val="00DD67E1"/>
    <w:rsid w:val="00DD6B17"/>
    <w:rsid w:val="00DD7279"/>
    <w:rsid w:val="00DE0A5F"/>
    <w:rsid w:val="00DE0E2A"/>
    <w:rsid w:val="00DE41FA"/>
    <w:rsid w:val="00DE6C57"/>
    <w:rsid w:val="00DE72AE"/>
    <w:rsid w:val="00DE76B8"/>
    <w:rsid w:val="00DF04A1"/>
    <w:rsid w:val="00DF0654"/>
    <w:rsid w:val="00DF13E0"/>
    <w:rsid w:val="00DF3CF8"/>
    <w:rsid w:val="00DF54B2"/>
    <w:rsid w:val="00DF55E3"/>
    <w:rsid w:val="00DF61C8"/>
    <w:rsid w:val="00DF64C3"/>
    <w:rsid w:val="00DF6589"/>
    <w:rsid w:val="00DF69AA"/>
    <w:rsid w:val="00DF7341"/>
    <w:rsid w:val="00DF736E"/>
    <w:rsid w:val="00E01E04"/>
    <w:rsid w:val="00E02C92"/>
    <w:rsid w:val="00E05574"/>
    <w:rsid w:val="00E056A6"/>
    <w:rsid w:val="00E05B9C"/>
    <w:rsid w:val="00E06441"/>
    <w:rsid w:val="00E1119A"/>
    <w:rsid w:val="00E11518"/>
    <w:rsid w:val="00E11718"/>
    <w:rsid w:val="00E12028"/>
    <w:rsid w:val="00E1397B"/>
    <w:rsid w:val="00E13B26"/>
    <w:rsid w:val="00E1429B"/>
    <w:rsid w:val="00E142E7"/>
    <w:rsid w:val="00E14DF8"/>
    <w:rsid w:val="00E20BDC"/>
    <w:rsid w:val="00E216B3"/>
    <w:rsid w:val="00E2201D"/>
    <w:rsid w:val="00E22BD6"/>
    <w:rsid w:val="00E232DD"/>
    <w:rsid w:val="00E2370B"/>
    <w:rsid w:val="00E24FD5"/>
    <w:rsid w:val="00E25508"/>
    <w:rsid w:val="00E2574F"/>
    <w:rsid w:val="00E27E82"/>
    <w:rsid w:val="00E300D9"/>
    <w:rsid w:val="00E3094E"/>
    <w:rsid w:val="00E31181"/>
    <w:rsid w:val="00E31E67"/>
    <w:rsid w:val="00E31EDE"/>
    <w:rsid w:val="00E31FD7"/>
    <w:rsid w:val="00E3243B"/>
    <w:rsid w:val="00E33C09"/>
    <w:rsid w:val="00E33F7A"/>
    <w:rsid w:val="00E34DD3"/>
    <w:rsid w:val="00E35167"/>
    <w:rsid w:val="00E3586E"/>
    <w:rsid w:val="00E37750"/>
    <w:rsid w:val="00E37AEA"/>
    <w:rsid w:val="00E412F2"/>
    <w:rsid w:val="00E41BB4"/>
    <w:rsid w:val="00E427AB"/>
    <w:rsid w:val="00E433FD"/>
    <w:rsid w:val="00E43F4C"/>
    <w:rsid w:val="00E443C8"/>
    <w:rsid w:val="00E44F1D"/>
    <w:rsid w:val="00E46278"/>
    <w:rsid w:val="00E46410"/>
    <w:rsid w:val="00E46535"/>
    <w:rsid w:val="00E46931"/>
    <w:rsid w:val="00E50A9F"/>
    <w:rsid w:val="00E51FAB"/>
    <w:rsid w:val="00E529B3"/>
    <w:rsid w:val="00E53D5E"/>
    <w:rsid w:val="00E542D9"/>
    <w:rsid w:val="00E54A14"/>
    <w:rsid w:val="00E5635C"/>
    <w:rsid w:val="00E57025"/>
    <w:rsid w:val="00E5740C"/>
    <w:rsid w:val="00E57A53"/>
    <w:rsid w:val="00E60991"/>
    <w:rsid w:val="00E60A12"/>
    <w:rsid w:val="00E626EB"/>
    <w:rsid w:val="00E630E4"/>
    <w:rsid w:val="00E63727"/>
    <w:rsid w:val="00E638BE"/>
    <w:rsid w:val="00E63AAC"/>
    <w:rsid w:val="00E6432F"/>
    <w:rsid w:val="00E658FD"/>
    <w:rsid w:val="00E65CCD"/>
    <w:rsid w:val="00E67072"/>
    <w:rsid w:val="00E671D7"/>
    <w:rsid w:val="00E701F5"/>
    <w:rsid w:val="00E71935"/>
    <w:rsid w:val="00E71A6F"/>
    <w:rsid w:val="00E73346"/>
    <w:rsid w:val="00E7548D"/>
    <w:rsid w:val="00E75CB3"/>
    <w:rsid w:val="00E761C1"/>
    <w:rsid w:val="00E80544"/>
    <w:rsid w:val="00E806D3"/>
    <w:rsid w:val="00E82332"/>
    <w:rsid w:val="00E82727"/>
    <w:rsid w:val="00E833E7"/>
    <w:rsid w:val="00E83C8B"/>
    <w:rsid w:val="00E83E9E"/>
    <w:rsid w:val="00E850FE"/>
    <w:rsid w:val="00E86424"/>
    <w:rsid w:val="00E86F5A"/>
    <w:rsid w:val="00E91CFA"/>
    <w:rsid w:val="00E92C59"/>
    <w:rsid w:val="00E933FF"/>
    <w:rsid w:val="00E9397A"/>
    <w:rsid w:val="00E93C2E"/>
    <w:rsid w:val="00E93EBE"/>
    <w:rsid w:val="00E9707B"/>
    <w:rsid w:val="00EA2D96"/>
    <w:rsid w:val="00EA2DC3"/>
    <w:rsid w:val="00EA2FFC"/>
    <w:rsid w:val="00EA4395"/>
    <w:rsid w:val="00EA7126"/>
    <w:rsid w:val="00EA755E"/>
    <w:rsid w:val="00EB00F1"/>
    <w:rsid w:val="00EB0EE2"/>
    <w:rsid w:val="00EB105A"/>
    <w:rsid w:val="00EB1844"/>
    <w:rsid w:val="00EB21C6"/>
    <w:rsid w:val="00EB22CD"/>
    <w:rsid w:val="00EB2B3A"/>
    <w:rsid w:val="00EB4B3F"/>
    <w:rsid w:val="00EB5E28"/>
    <w:rsid w:val="00EB6462"/>
    <w:rsid w:val="00EC0031"/>
    <w:rsid w:val="00EC2F5A"/>
    <w:rsid w:val="00EC458C"/>
    <w:rsid w:val="00EC464E"/>
    <w:rsid w:val="00EC4E60"/>
    <w:rsid w:val="00EC57EB"/>
    <w:rsid w:val="00EC5F15"/>
    <w:rsid w:val="00EC68A4"/>
    <w:rsid w:val="00EC6BF3"/>
    <w:rsid w:val="00ED0105"/>
    <w:rsid w:val="00ED09A5"/>
    <w:rsid w:val="00ED1B82"/>
    <w:rsid w:val="00ED2572"/>
    <w:rsid w:val="00ED2C1F"/>
    <w:rsid w:val="00ED33B7"/>
    <w:rsid w:val="00ED3DDE"/>
    <w:rsid w:val="00ED557B"/>
    <w:rsid w:val="00ED579D"/>
    <w:rsid w:val="00ED5DF7"/>
    <w:rsid w:val="00ED643A"/>
    <w:rsid w:val="00ED746A"/>
    <w:rsid w:val="00EE04C0"/>
    <w:rsid w:val="00EE25DA"/>
    <w:rsid w:val="00EE367D"/>
    <w:rsid w:val="00EE399E"/>
    <w:rsid w:val="00EE49AA"/>
    <w:rsid w:val="00EE62B2"/>
    <w:rsid w:val="00EE6946"/>
    <w:rsid w:val="00EE7929"/>
    <w:rsid w:val="00EF0841"/>
    <w:rsid w:val="00EF0CBA"/>
    <w:rsid w:val="00EF202C"/>
    <w:rsid w:val="00EF3DB7"/>
    <w:rsid w:val="00EF42E8"/>
    <w:rsid w:val="00EF55CF"/>
    <w:rsid w:val="00EF685F"/>
    <w:rsid w:val="00EF6E48"/>
    <w:rsid w:val="00EF76F8"/>
    <w:rsid w:val="00F012FF"/>
    <w:rsid w:val="00F015C0"/>
    <w:rsid w:val="00F01E59"/>
    <w:rsid w:val="00F02F61"/>
    <w:rsid w:val="00F034BE"/>
    <w:rsid w:val="00F0378F"/>
    <w:rsid w:val="00F0431C"/>
    <w:rsid w:val="00F044D0"/>
    <w:rsid w:val="00F047BD"/>
    <w:rsid w:val="00F04D23"/>
    <w:rsid w:val="00F054CB"/>
    <w:rsid w:val="00F07052"/>
    <w:rsid w:val="00F10B45"/>
    <w:rsid w:val="00F1105E"/>
    <w:rsid w:val="00F11493"/>
    <w:rsid w:val="00F11E06"/>
    <w:rsid w:val="00F12E3C"/>
    <w:rsid w:val="00F1387E"/>
    <w:rsid w:val="00F13C95"/>
    <w:rsid w:val="00F14111"/>
    <w:rsid w:val="00F153CB"/>
    <w:rsid w:val="00F157FA"/>
    <w:rsid w:val="00F208F9"/>
    <w:rsid w:val="00F218DA"/>
    <w:rsid w:val="00F21988"/>
    <w:rsid w:val="00F21A09"/>
    <w:rsid w:val="00F232CF"/>
    <w:rsid w:val="00F23482"/>
    <w:rsid w:val="00F26A77"/>
    <w:rsid w:val="00F26D23"/>
    <w:rsid w:val="00F27CD3"/>
    <w:rsid w:val="00F3370A"/>
    <w:rsid w:val="00F33A43"/>
    <w:rsid w:val="00F33BB2"/>
    <w:rsid w:val="00F35361"/>
    <w:rsid w:val="00F37069"/>
    <w:rsid w:val="00F375C2"/>
    <w:rsid w:val="00F37EFE"/>
    <w:rsid w:val="00F40906"/>
    <w:rsid w:val="00F41869"/>
    <w:rsid w:val="00F419B2"/>
    <w:rsid w:val="00F42B0D"/>
    <w:rsid w:val="00F42C77"/>
    <w:rsid w:val="00F44F39"/>
    <w:rsid w:val="00F46D78"/>
    <w:rsid w:val="00F476C0"/>
    <w:rsid w:val="00F476F4"/>
    <w:rsid w:val="00F500E6"/>
    <w:rsid w:val="00F504DE"/>
    <w:rsid w:val="00F50D75"/>
    <w:rsid w:val="00F50F54"/>
    <w:rsid w:val="00F51233"/>
    <w:rsid w:val="00F53C24"/>
    <w:rsid w:val="00F54F64"/>
    <w:rsid w:val="00F561EF"/>
    <w:rsid w:val="00F5728C"/>
    <w:rsid w:val="00F5780C"/>
    <w:rsid w:val="00F57C7B"/>
    <w:rsid w:val="00F60784"/>
    <w:rsid w:val="00F61608"/>
    <w:rsid w:val="00F6239B"/>
    <w:rsid w:val="00F62F20"/>
    <w:rsid w:val="00F64BEA"/>
    <w:rsid w:val="00F662B6"/>
    <w:rsid w:val="00F662C7"/>
    <w:rsid w:val="00F669E4"/>
    <w:rsid w:val="00F677F6"/>
    <w:rsid w:val="00F678E7"/>
    <w:rsid w:val="00F67FDA"/>
    <w:rsid w:val="00F71B89"/>
    <w:rsid w:val="00F71C0D"/>
    <w:rsid w:val="00F733CF"/>
    <w:rsid w:val="00F736C2"/>
    <w:rsid w:val="00F73E41"/>
    <w:rsid w:val="00F746B0"/>
    <w:rsid w:val="00F7521D"/>
    <w:rsid w:val="00F753BF"/>
    <w:rsid w:val="00F75D58"/>
    <w:rsid w:val="00F80C9B"/>
    <w:rsid w:val="00F81155"/>
    <w:rsid w:val="00F824BB"/>
    <w:rsid w:val="00F82CC9"/>
    <w:rsid w:val="00F83500"/>
    <w:rsid w:val="00F83E10"/>
    <w:rsid w:val="00F83F1A"/>
    <w:rsid w:val="00F8450E"/>
    <w:rsid w:val="00F863EC"/>
    <w:rsid w:val="00F87F77"/>
    <w:rsid w:val="00F9006B"/>
    <w:rsid w:val="00F9013F"/>
    <w:rsid w:val="00F90914"/>
    <w:rsid w:val="00F916EA"/>
    <w:rsid w:val="00F92C93"/>
    <w:rsid w:val="00F930D4"/>
    <w:rsid w:val="00F93833"/>
    <w:rsid w:val="00F93983"/>
    <w:rsid w:val="00F939BB"/>
    <w:rsid w:val="00F9406D"/>
    <w:rsid w:val="00F97EFB"/>
    <w:rsid w:val="00FA05A0"/>
    <w:rsid w:val="00FA0DC3"/>
    <w:rsid w:val="00FA108F"/>
    <w:rsid w:val="00FA39C9"/>
    <w:rsid w:val="00FA42C8"/>
    <w:rsid w:val="00FA4AC3"/>
    <w:rsid w:val="00FA500B"/>
    <w:rsid w:val="00FA5887"/>
    <w:rsid w:val="00FA5EB7"/>
    <w:rsid w:val="00FA6C93"/>
    <w:rsid w:val="00FB0493"/>
    <w:rsid w:val="00FB0FA7"/>
    <w:rsid w:val="00FB25C4"/>
    <w:rsid w:val="00FB3DA3"/>
    <w:rsid w:val="00FB3EC8"/>
    <w:rsid w:val="00FB446A"/>
    <w:rsid w:val="00FB63CE"/>
    <w:rsid w:val="00FB647E"/>
    <w:rsid w:val="00FB7059"/>
    <w:rsid w:val="00FB747C"/>
    <w:rsid w:val="00FC0D8E"/>
    <w:rsid w:val="00FC3A6B"/>
    <w:rsid w:val="00FC3EA5"/>
    <w:rsid w:val="00FC474A"/>
    <w:rsid w:val="00FC4D8B"/>
    <w:rsid w:val="00FC520A"/>
    <w:rsid w:val="00FC67C1"/>
    <w:rsid w:val="00FC68BE"/>
    <w:rsid w:val="00FC6DA5"/>
    <w:rsid w:val="00FD0C90"/>
    <w:rsid w:val="00FD1318"/>
    <w:rsid w:val="00FD14C1"/>
    <w:rsid w:val="00FD18E6"/>
    <w:rsid w:val="00FD2C79"/>
    <w:rsid w:val="00FD3D8A"/>
    <w:rsid w:val="00FD6F28"/>
    <w:rsid w:val="00FD7374"/>
    <w:rsid w:val="00FE0D8C"/>
    <w:rsid w:val="00FE10DE"/>
    <w:rsid w:val="00FE130F"/>
    <w:rsid w:val="00FE15B6"/>
    <w:rsid w:val="00FE33F2"/>
    <w:rsid w:val="00FE3403"/>
    <w:rsid w:val="00FE3816"/>
    <w:rsid w:val="00FE764B"/>
    <w:rsid w:val="00FE7822"/>
    <w:rsid w:val="00FE7DDF"/>
    <w:rsid w:val="00FF0C6F"/>
    <w:rsid w:val="00FF0DD8"/>
    <w:rsid w:val="00FF194C"/>
    <w:rsid w:val="00FF21EA"/>
    <w:rsid w:val="00FF3644"/>
    <w:rsid w:val="00FF43FA"/>
    <w:rsid w:val="00FF6CD2"/>
    <w:rsid w:val="00FF77DA"/>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CA" w:eastAsia="fr-CA" w:bidi="fr-C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E-mail Signature"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8FD"/>
    <w:pPr>
      <w:widowControl w:val="0"/>
    </w:pPr>
  </w:style>
  <w:style w:type="paragraph" w:styleId="Heading1">
    <w:name w:val="heading 1"/>
    <w:basedOn w:val="Normal"/>
    <w:next w:val="Normal"/>
    <w:link w:val="Heading1Char"/>
    <w:qFormat/>
    <w:locked/>
    <w:rsid w:val="0016131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locked/>
    <w:rsid w:val="0016131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locked/>
    <w:rsid w:val="0016131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66842"/>
    <w:pPr>
      <w:ind w:left="20"/>
    </w:pPr>
    <w:rPr>
      <w:rFonts w:ascii="Times New Roman" w:eastAsia="Times New Roman" w:hAnsi="Times New Roman"/>
      <w:sz w:val="20"/>
      <w:szCs w:val="20"/>
    </w:rPr>
  </w:style>
  <w:style w:type="character" w:customStyle="1" w:styleId="BodyTextChar">
    <w:name w:val="Body Text Char"/>
    <w:basedOn w:val="DefaultParagraphFont"/>
    <w:link w:val="BodyText"/>
    <w:uiPriority w:val="99"/>
    <w:semiHidden/>
    <w:locked/>
    <w:rsid w:val="00E232DD"/>
    <w:rPr>
      <w:rFonts w:cs="Times New Roman"/>
      <w:lang w:val="fr-CA" w:eastAsia="fr-CA"/>
    </w:rPr>
  </w:style>
  <w:style w:type="paragraph" w:styleId="ListParagraph">
    <w:name w:val="List Paragraph"/>
    <w:basedOn w:val="Normal"/>
    <w:uiPriority w:val="34"/>
    <w:qFormat/>
    <w:rsid w:val="00666842"/>
  </w:style>
  <w:style w:type="paragraph" w:customStyle="1" w:styleId="TableParagraph">
    <w:name w:val="Table Paragraph"/>
    <w:basedOn w:val="Normal"/>
    <w:uiPriority w:val="99"/>
    <w:rsid w:val="00666842"/>
  </w:style>
  <w:style w:type="paragraph" w:styleId="Header">
    <w:name w:val="header"/>
    <w:basedOn w:val="Normal"/>
    <w:link w:val="HeaderChar"/>
    <w:uiPriority w:val="99"/>
    <w:rsid w:val="00A00AFB"/>
    <w:pPr>
      <w:tabs>
        <w:tab w:val="center" w:pos="4320"/>
        <w:tab w:val="right" w:pos="8640"/>
      </w:tabs>
    </w:pPr>
  </w:style>
  <w:style w:type="character" w:customStyle="1" w:styleId="HeaderChar">
    <w:name w:val="Header Char"/>
    <w:basedOn w:val="DefaultParagraphFont"/>
    <w:link w:val="Header"/>
    <w:uiPriority w:val="99"/>
    <w:semiHidden/>
    <w:locked/>
    <w:rsid w:val="00E232DD"/>
    <w:rPr>
      <w:rFonts w:cs="Times New Roman"/>
      <w:lang w:val="fr-CA" w:eastAsia="fr-CA"/>
    </w:rPr>
  </w:style>
  <w:style w:type="paragraph" w:styleId="Footer">
    <w:name w:val="footer"/>
    <w:basedOn w:val="Normal"/>
    <w:link w:val="FooterChar"/>
    <w:uiPriority w:val="99"/>
    <w:rsid w:val="00A00AFB"/>
    <w:pPr>
      <w:tabs>
        <w:tab w:val="center" w:pos="4320"/>
        <w:tab w:val="right" w:pos="8640"/>
      </w:tabs>
    </w:pPr>
  </w:style>
  <w:style w:type="character" w:customStyle="1" w:styleId="FooterChar">
    <w:name w:val="Footer Char"/>
    <w:basedOn w:val="DefaultParagraphFont"/>
    <w:link w:val="Footer"/>
    <w:uiPriority w:val="99"/>
    <w:locked/>
    <w:rsid w:val="00E232DD"/>
    <w:rPr>
      <w:rFonts w:cs="Times New Roman"/>
      <w:lang w:val="fr-CA" w:eastAsia="fr-CA"/>
    </w:rPr>
  </w:style>
  <w:style w:type="paragraph" w:styleId="BalloonText">
    <w:name w:val="Balloon Text"/>
    <w:basedOn w:val="Normal"/>
    <w:link w:val="BalloonTextChar"/>
    <w:uiPriority w:val="99"/>
    <w:semiHidden/>
    <w:rsid w:val="00D557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5749"/>
    <w:rPr>
      <w:rFonts w:ascii="Tahoma" w:hAnsi="Tahoma" w:cs="Tahoma"/>
      <w:sz w:val="16"/>
      <w:szCs w:val="16"/>
      <w:lang w:val="fr-CA" w:eastAsia="fr-CA"/>
    </w:rPr>
  </w:style>
  <w:style w:type="paragraph" w:customStyle="1" w:styleId="Default">
    <w:name w:val="Default"/>
    <w:rsid w:val="000C524B"/>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rsid w:val="001C2CD2"/>
    <w:rPr>
      <w:rFonts w:cs="Times New Roman"/>
      <w:sz w:val="16"/>
      <w:szCs w:val="16"/>
    </w:rPr>
  </w:style>
  <w:style w:type="paragraph" w:styleId="CommentText">
    <w:name w:val="annotation text"/>
    <w:basedOn w:val="Normal"/>
    <w:link w:val="CommentTextChar"/>
    <w:uiPriority w:val="99"/>
    <w:rsid w:val="001C2CD2"/>
    <w:rPr>
      <w:sz w:val="20"/>
      <w:szCs w:val="20"/>
    </w:rPr>
  </w:style>
  <w:style w:type="character" w:customStyle="1" w:styleId="CommentTextChar">
    <w:name w:val="Comment Text Char"/>
    <w:basedOn w:val="DefaultParagraphFont"/>
    <w:link w:val="CommentText"/>
    <w:uiPriority w:val="99"/>
    <w:locked/>
    <w:rsid w:val="001C2CD2"/>
    <w:rPr>
      <w:rFonts w:cs="Times New Roman"/>
      <w:sz w:val="20"/>
      <w:szCs w:val="20"/>
      <w:lang w:val="fr-CA" w:eastAsia="fr-CA"/>
    </w:rPr>
  </w:style>
  <w:style w:type="paragraph" w:styleId="CommentSubject">
    <w:name w:val="annotation subject"/>
    <w:basedOn w:val="CommentText"/>
    <w:next w:val="CommentText"/>
    <w:link w:val="CommentSubjectChar"/>
    <w:uiPriority w:val="99"/>
    <w:semiHidden/>
    <w:rsid w:val="001C2CD2"/>
    <w:rPr>
      <w:b/>
      <w:bCs/>
    </w:rPr>
  </w:style>
  <w:style w:type="character" w:customStyle="1" w:styleId="CommentSubjectChar">
    <w:name w:val="Comment Subject Char"/>
    <w:basedOn w:val="CommentTextChar"/>
    <w:link w:val="CommentSubject"/>
    <w:uiPriority w:val="99"/>
    <w:semiHidden/>
    <w:locked/>
    <w:rsid w:val="001C2CD2"/>
    <w:rPr>
      <w:rFonts w:cs="Times New Roman"/>
      <w:b/>
      <w:bCs/>
      <w:sz w:val="20"/>
      <w:szCs w:val="20"/>
      <w:lang w:val="fr-CA" w:eastAsia="fr-CA"/>
    </w:rPr>
  </w:style>
  <w:style w:type="character" w:customStyle="1" w:styleId="apple-converted-space">
    <w:name w:val="apple-converted-space"/>
    <w:basedOn w:val="DefaultParagraphFont"/>
    <w:uiPriority w:val="99"/>
    <w:rsid w:val="00F82CC9"/>
    <w:rPr>
      <w:rFonts w:cs="Times New Roman"/>
    </w:rPr>
  </w:style>
  <w:style w:type="character" w:styleId="Hyperlink">
    <w:name w:val="Hyperlink"/>
    <w:basedOn w:val="DefaultParagraphFont"/>
    <w:uiPriority w:val="99"/>
    <w:rsid w:val="00A82D87"/>
    <w:rPr>
      <w:rFonts w:cs="Times New Roman"/>
      <w:color w:val="0000FF"/>
      <w:u w:val="single"/>
    </w:rPr>
  </w:style>
  <w:style w:type="table" w:styleId="TableGrid">
    <w:name w:val="Table Grid"/>
    <w:basedOn w:val="TableNormal"/>
    <w:uiPriority w:val="99"/>
    <w:locked/>
    <w:rsid w:val="00A331B4"/>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161312"/>
    <w:rPr>
      <w:i/>
      <w:iCs/>
    </w:rPr>
  </w:style>
  <w:style w:type="character" w:customStyle="1" w:styleId="Heading1Char">
    <w:name w:val="Heading 1 Char"/>
    <w:basedOn w:val="DefaultParagraphFont"/>
    <w:link w:val="Heading1"/>
    <w:rsid w:val="00161312"/>
    <w:rPr>
      <w:rFonts w:asciiTheme="majorHAnsi" w:eastAsiaTheme="majorEastAsia" w:hAnsiTheme="majorHAnsi" w:cstheme="majorBidi"/>
      <w:b/>
      <w:bCs/>
      <w:kern w:val="32"/>
      <w:sz w:val="32"/>
      <w:szCs w:val="32"/>
      <w:lang w:val="fr-CA" w:eastAsia="fr-CA"/>
    </w:rPr>
  </w:style>
  <w:style w:type="character" w:customStyle="1" w:styleId="Heading2Char">
    <w:name w:val="Heading 2 Char"/>
    <w:basedOn w:val="DefaultParagraphFont"/>
    <w:link w:val="Heading2"/>
    <w:rsid w:val="00161312"/>
    <w:rPr>
      <w:rFonts w:asciiTheme="majorHAnsi" w:eastAsiaTheme="majorEastAsia" w:hAnsiTheme="majorHAnsi" w:cstheme="majorBidi"/>
      <w:b/>
      <w:bCs/>
      <w:i/>
      <w:iCs/>
      <w:sz w:val="28"/>
      <w:szCs w:val="28"/>
      <w:lang w:val="fr-CA" w:eastAsia="fr-CA"/>
    </w:rPr>
  </w:style>
  <w:style w:type="character" w:customStyle="1" w:styleId="Heading3Char">
    <w:name w:val="Heading 3 Char"/>
    <w:basedOn w:val="DefaultParagraphFont"/>
    <w:link w:val="Heading3"/>
    <w:rsid w:val="00161312"/>
    <w:rPr>
      <w:rFonts w:asciiTheme="majorHAnsi" w:eastAsiaTheme="majorEastAsia" w:hAnsiTheme="majorHAnsi" w:cstheme="majorBidi"/>
      <w:b/>
      <w:bCs/>
      <w:sz w:val="26"/>
      <w:szCs w:val="26"/>
      <w:lang w:val="fr-CA" w:eastAsia="fr-CA"/>
    </w:rPr>
  </w:style>
  <w:style w:type="character" w:styleId="Strong">
    <w:name w:val="Strong"/>
    <w:basedOn w:val="DefaultParagraphFont"/>
    <w:qFormat/>
    <w:locked/>
    <w:rsid w:val="00161312"/>
    <w:rPr>
      <w:b/>
      <w:bCs/>
    </w:rPr>
  </w:style>
  <w:style w:type="paragraph" w:styleId="Revision">
    <w:name w:val="Revision"/>
    <w:hidden/>
    <w:uiPriority w:val="99"/>
    <w:semiHidden/>
    <w:rsid w:val="004B4E5C"/>
  </w:style>
  <w:style w:type="paragraph" w:styleId="FootnoteText">
    <w:name w:val="footnote text"/>
    <w:basedOn w:val="Normal"/>
    <w:link w:val="FootnoteTextChar"/>
    <w:uiPriority w:val="99"/>
    <w:semiHidden/>
    <w:rsid w:val="00B56CA8"/>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B56CA8"/>
    <w:rPr>
      <w:rFonts w:ascii="Times New Roman" w:eastAsia="Times New Roman" w:hAnsi="Times New Roman"/>
      <w:sz w:val="20"/>
      <w:szCs w:val="20"/>
      <w:lang w:val="fr-CA" w:eastAsia="fr-CA"/>
    </w:rPr>
  </w:style>
  <w:style w:type="paragraph" w:customStyle="1" w:styleId="subsection-e">
    <w:name w:val="subsection-e"/>
    <w:basedOn w:val="Normal"/>
    <w:rsid w:val="00FB25C4"/>
    <w:pPr>
      <w:widowControl/>
      <w:snapToGrid w:val="0"/>
    </w:pPr>
    <w:rPr>
      <w:rFonts w:ascii="Times New Roman" w:eastAsia="Times New Roman" w:hAnsi="Times New Roman"/>
      <w:sz w:val="26"/>
      <w:szCs w:val="26"/>
    </w:rPr>
  </w:style>
  <w:style w:type="paragraph" w:styleId="NormalWeb">
    <w:name w:val="Normal (Web)"/>
    <w:basedOn w:val="Normal"/>
    <w:uiPriority w:val="99"/>
    <w:rsid w:val="00EB5E28"/>
    <w:pPr>
      <w:widowControl/>
      <w:spacing w:before="100" w:beforeAutospacing="1" w:after="100" w:afterAutospacing="1"/>
    </w:pPr>
    <w:rPr>
      <w:rFonts w:ascii="Times New Roman" w:eastAsia="Times New Roman" w:hAnsi="Times New Roman"/>
      <w:sz w:val="24"/>
      <w:szCs w:val="24"/>
    </w:rPr>
  </w:style>
  <w:style w:type="paragraph" w:styleId="E-mailSignature">
    <w:name w:val="E-mail Signature"/>
    <w:basedOn w:val="Normal"/>
    <w:link w:val="E-mailSignatureChar"/>
    <w:rsid w:val="00E65CCD"/>
    <w:pPr>
      <w:widowControl/>
      <w:spacing w:before="100" w:beforeAutospacing="1" w:after="100" w:afterAutospacing="1"/>
    </w:pPr>
    <w:rPr>
      <w:rFonts w:ascii="Times New Roman" w:eastAsia="Times New Roman" w:hAnsi="Times New Roman"/>
      <w:sz w:val="24"/>
      <w:szCs w:val="24"/>
    </w:rPr>
  </w:style>
  <w:style w:type="character" w:customStyle="1" w:styleId="E-mailSignatureChar">
    <w:name w:val="E-mail Signature Char"/>
    <w:basedOn w:val="DefaultParagraphFont"/>
    <w:link w:val="E-mailSignature"/>
    <w:rsid w:val="00E65CCD"/>
    <w:rPr>
      <w:rFonts w:ascii="Times New Roman" w:eastAsia="Times New Roman" w:hAnsi="Times New Roman"/>
      <w:sz w:val="24"/>
      <w:szCs w:val="24"/>
    </w:rPr>
  </w:style>
  <w:style w:type="paragraph" w:customStyle="1" w:styleId="subpara-e">
    <w:name w:val="subpara-e"/>
    <w:basedOn w:val="Normal"/>
    <w:rsid w:val="009900D8"/>
    <w:pPr>
      <w:widowControl/>
      <w:snapToGrid w:val="0"/>
      <w:ind w:left="1910" w:hanging="1910"/>
    </w:pPr>
    <w:rPr>
      <w:rFonts w:ascii="Times New Roman" w:eastAsia="Times New Roman" w:hAnsi="Times New Roman"/>
      <w:sz w:val="26"/>
      <w:szCs w:val="26"/>
    </w:rPr>
  </w:style>
  <w:style w:type="character" w:styleId="FootnoteReference">
    <w:name w:val="footnote reference"/>
    <w:basedOn w:val="DefaultParagraphFont"/>
    <w:uiPriority w:val="99"/>
    <w:semiHidden/>
    <w:unhideWhenUsed/>
    <w:rsid w:val="001629CC"/>
    <w:rPr>
      <w:vertAlign w:val="superscript"/>
    </w:rPr>
  </w:style>
  <w:style w:type="paragraph" w:customStyle="1" w:styleId="msolistparagraph0">
    <w:name w:val="msolistparagraph"/>
    <w:basedOn w:val="Normal"/>
    <w:rsid w:val="00335638"/>
    <w:pPr>
      <w:widowControl/>
      <w:ind w:left="720"/>
    </w:pPr>
    <w:rPr>
      <w:rFonts w:eastAsia="Times New Roman"/>
    </w:rPr>
  </w:style>
  <w:style w:type="paragraph" w:styleId="EndnoteText">
    <w:name w:val="endnote text"/>
    <w:basedOn w:val="Normal"/>
    <w:link w:val="EndnoteTextChar"/>
    <w:uiPriority w:val="99"/>
    <w:semiHidden/>
    <w:unhideWhenUsed/>
    <w:rsid w:val="009A1EAA"/>
    <w:rPr>
      <w:sz w:val="20"/>
      <w:szCs w:val="20"/>
    </w:rPr>
  </w:style>
  <w:style w:type="character" w:customStyle="1" w:styleId="EndnoteTextChar">
    <w:name w:val="Endnote Text Char"/>
    <w:basedOn w:val="DefaultParagraphFont"/>
    <w:link w:val="EndnoteText"/>
    <w:uiPriority w:val="99"/>
    <w:semiHidden/>
    <w:rsid w:val="009A1EAA"/>
    <w:rPr>
      <w:sz w:val="20"/>
      <w:szCs w:val="20"/>
      <w:lang w:eastAsia="fr-CA"/>
    </w:rPr>
  </w:style>
  <w:style w:type="character" w:styleId="EndnoteReference">
    <w:name w:val="endnote reference"/>
    <w:basedOn w:val="DefaultParagraphFont"/>
    <w:uiPriority w:val="99"/>
    <w:semiHidden/>
    <w:unhideWhenUsed/>
    <w:rsid w:val="009A1EAA"/>
    <w:rPr>
      <w:vertAlign w:val="superscript"/>
    </w:rPr>
  </w:style>
  <w:style w:type="character" w:customStyle="1" w:styleId="st1">
    <w:name w:val="st1"/>
    <w:basedOn w:val="DefaultParagraphFont"/>
    <w:rsid w:val="00662174"/>
  </w:style>
  <w:style w:type="paragraph" w:styleId="TOCHeading">
    <w:name w:val="TOC Heading"/>
    <w:basedOn w:val="Heading1"/>
    <w:next w:val="Normal"/>
    <w:uiPriority w:val="39"/>
    <w:semiHidden/>
    <w:unhideWhenUsed/>
    <w:qFormat/>
    <w:rsid w:val="0089411F"/>
    <w:pPr>
      <w:keepLines/>
      <w:widowControl/>
      <w:spacing w:before="480" w:after="0" w:line="276" w:lineRule="auto"/>
      <w:outlineLvl w:val="9"/>
    </w:pPr>
    <w:rPr>
      <w:color w:val="365F91" w:themeColor="accent1" w:themeShade="BF"/>
      <w:kern w:val="0"/>
      <w:sz w:val="28"/>
      <w:szCs w:val="28"/>
    </w:rPr>
  </w:style>
  <w:style w:type="paragraph" w:styleId="TOC1">
    <w:name w:val="toc 1"/>
    <w:basedOn w:val="Normal"/>
    <w:next w:val="Normal"/>
    <w:autoRedefine/>
    <w:uiPriority w:val="39"/>
    <w:qFormat/>
    <w:locked/>
    <w:rsid w:val="000709E7"/>
    <w:pPr>
      <w:tabs>
        <w:tab w:val="right" w:leader="dot" w:pos="14850"/>
      </w:tabs>
      <w:spacing w:after="100"/>
    </w:pPr>
  </w:style>
  <w:style w:type="paragraph" w:styleId="TOC2">
    <w:name w:val="toc 2"/>
    <w:basedOn w:val="Normal"/>
    <w:next w:val="Normal"/>
    <w:autoRedefine/>
    <w:uiPriority w:val="39"/>
    <w:unhideWhenUsed/>
    <w:qFormat/>
    <w:locked/>
    <w:rsid w:val="0089411F"/>
    <w:pPr>
      <w:widowControl/>
      <w:spacing w:after="100" w:line="276" w:lineRule="auto"/>
      <w:ind w:left="22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89411F"/>
    <w:pPr>
      <w:widowControl/>
      <w:spacing w:after="100" w:line="276" w:lineRule="auto"/>
      <w:ind w:left="440"/>
    </w:pPr>
    <w:rPr>
      <w:rFonts w:asciiTheme="minorHAnsi" w:eastAsiaTheme="minorEastAsia" w:hAnsiTheme="minorHAnsi" w:cstheme="minorBidi"/>
    </w:rPr>
  </w:style>
  <w:style w:type="paragraph" w:styleId="NoSpacing">
    <w:name w:val="No Spacing"/>
    <w:uiPriority w:val="1"/>
    <w:qFormat/>
    <w:rsid w:val="004F4C7E"/>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CA" w:eastAsia="fr-CA" w:bidi="fr-C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E-mail Signature"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8FD"/>
    <w:pPr>
      <w:widowControl w:val="0"/>
    </w:pPr>
  </w:style>
  <w:style w:type="paragraph" w:styleId="Heading1">
    <w:name w:val="heading 1"/>
    <w:basedOn w:val="Normal"/>
    <w:next w:val="Normal"/>
    <w:link w:val="Heading1Char"/>
    <w:qFormat/>
    <w:locked/>
    <w:rsid w:val="0016131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locked/>
    <w:rsid w:val="0016131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locked/>
    <w:rsid w:val="0016131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66842"/>
    <w:pPr>
      <w:ind w:left="20"/>
    </w:pPr>
    <w:rPr>
      <w:rFonts w:ascii="Times New Roman" w:eastAsia="Times New Roman" w:hAnsi="Times New Roman"/>
      <w:sz w:val="20"/>
      <w:szCs w:val="20"/>
    </w:rPr>
  </w:style>
  <w:style w:type="character" w:customStyle="1" w:styleId="BodyTextChar">
    <w:name w:val="Body Text Char"/>
    <w:basedOn w:val="DefaultParagraphFont"/>
    <w:link w:val="BodyText"/>
    <w:uiPriority w:val="99"/>
    <w:semiHidden/>
    <w:locked/>
    <w:rsid w:val="00E232DD"/>
    <w:rPr>
      <w:rFonts w:cs="Times New Roman"/>
      <w:lang w:val="fr-CA" w:eastAsia="fr-CA"/>
    </w:rPr>
  </w:style>
  <w:style w:type="paragraph" w:styleId="ListParagraph">
    <w:name w:val="List Paragraph"/>
    <w:basedOn w:val="Normal"/>
    <w:uiPriority w:val="34"/>
    <w:qFormat/>
    <w:rsid w:val="00666842"/>
  </w:style>
  <w:style w:type="paragraph" w:customStyle="1" w:styleId="TableParagraph">
    <w:name w:val="Table Paragraph"/>
    <w:basedOn w:val="Normal"/>
    <w:uiPriority w:val="99"/>
    <w:rsid w:val="00666842"/>
  </w:style>
  <w:style w:type="paragraph" w:styleId="Header">
    <w:name w:val="header"/>
    <w:basedOn w:val="Normal"/>
    <w:link w:val="HeaderChar"/>
    <w:uiPriority w:val="99"/>
    <w:rsid w:val="00A00AFB"/>
    <w:pPr>
      <w:tabs>
        <w:tab w:val="center" w:pos="4320"/>
        <w:tab w:val="right" w:pos="8640"/>
      </w:tabs>
    </w:pPr>
  </w:style>
  <w:style w:type="character" w:customStyle="1" w:styleId="HeaderChar">
    <w:name w:val="Header Char"/>
    <w:basedOn w:val="DefaultParagraphFont"/>
    <w:link w:val="Header"/>
    <w:uiPriority w:val="99"/>
    <w:semiHidden/>
    <w:locked/>
    <w:rsid w:val="00E232DD"/>
    <w:rPr>
      <w:rFonts w:cs="Times New Roman"/>
      <w:lang w:val="fr-CA" w:eastAsia="fr-CA"/>
    </w:rPr>
  </w:style>
  <w:style w:type="paragraph" w:styleId="Footer">
    <w:name w:val="footer"/>
    <w:basedOn w:val="Normal"/>
    <w:link w:val="FooterChar"/>
    <w:uiPriority w:val="99"/>
    <w:rsid w:val="00A00AFB"/>
    <w:pPr>
      <w:tabs>
        <w:tab w:val="center" w:pos="4320"/>
        <w:tab w:val="right" w:pos="8640"/>
      </w:tabs>
    </w:pPr>
  </w:style>
  <w:style w:type="character" w:customStyle="1" w:styleId="FooterChar">
    <w:name w:val="Footer Char"/>
    <w:basedOn w:val="DefaultParagraphFont"/>
    <w:link w:val="Footer"/>
    <w:uiPriority w:val="99"/>
    <w:locked/>
    <w:rsid w:val="00E232DD"/>
    <w:rPr>
      <w:rFonts w:cs="Times New Roman"/>
      <w:lang w:val="fr-CA" w:eastAsia="fr-CA"/>
    </w:rPr>
  </w:style>
  <w:style w:type="paragraph" w:styleId="BalloonText">
    <w:name w:val="Balloon Text"/>
    <w:basedOn w:val="Normal"/>
    <w:link w:val="BalloonTextChar"/>
    <w:uiPriority w:val="99"/>
    <w:semiHidden/>
    <w:rsid w:val="00D557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5749"/>
    <w:rPr>
      <w:rFonts w:ascii="Tahoma" w:hAnsi="Tahoma" w:cs="Tahoma"/>
      <w:sz w:val="16"/>
      <w:szCs w:val="16"/>
      <w:lang w:val="fr-CA" w:eastAsia="fr-CA"/>
    </w:rPr>
  </w:style>
  <w:style w:type="paragraph" w:customStyle="1" w:styleId="Default">
    <w:name w:val="Default"/>
    <w:rsid w:val="000C524B"/>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rsid w:val="001C2CD2"/>
    <w:rPr>
      <w:rFonts w:cs="Times New Roman"/>
      <w:sz w:val="16"/>
      <w:szCs w:val="16"/>
    </w:rPr>
  </w:style>
  <w:style w:type="paragraph" w:styleId="CommentText">
    <w:name w:val="annotation text"/>
    <w:basedOn w:val="Normal"/>
    <w:link w:val="CommentTextChar"/>
    <w:uiPriority w:val="99"/>
    <w:rsid w:val="001C2CD2"/>
    <w:rPr>
      <w:sz w:val="20"/>
      <w:szCs w:val="20"/>
    </w:rPr>
  </w:style>
  <w:style w:type="character" w:customStyle="1" w:styleId="CommentTextChar">
    <w:name w:val="Comment Text Char"/>
    <w:basedOn w:val="DefaultParagraphFont"/>
    <w:link w:val="CommentText"/>
    <w:uiPriority w:val="99"/>
    <w:locked/>
    <w:rsid w:val="001C2CD2"/>
    <w:rPr>
      <w:rFonts w:cs="Times New Roman"/>
      <w:sz w:val="20"/>
      <w:szCs w:val="20"/>
      <w:lang w:val="fr-CA" w:eastAsia="fr-CA"/>
    </w:rPr>
  </w:style>
  <w:style w:type="paragraph" w:styleId="CommentSubject">
    <w:name w:val="annotation subject"/>
    <w:basedOn w:val="CommentText"/>
    <w:next w:val="CommentText"/>
    <w:link w:val="CommentSubjectChar"/>
    <w:uiPriority w:val="99"/>
    <w:semiHidden/>
    <w:rsid w:val="001C2CD2"/>
    <w:rPr>
      <w:b/>
      <w:bCs/>
    </w:rPr>
  </w:style>
  <w:style w:type="character" w:customStyle="1" w:styleId="CommentSubjectChar">
    <w:name w:val="Comment Subject Char"/>
    <w:basedOn w:val="CommentTextChar"/>
    <w:link w:val="CommentSubject"/>
    <w:uiPriority w:val="99"/>
    <w:semiHidden/>
    <w:locked/>
    <w:rsid w:val="001C2CD2"/>
    <w:rPr>
      <w:rFonts w:cs="Times New Roman"/>
      <w:b/>
      <w:bCs/>
      <w:sz w:val="20"/>
      <w:szCs w:val="20"/>
      <w:lang w:val="fr-CA" w:eastAsia="fr-CA"/>
    </w:rPr>
  </w:style>
  <w:style w:type="character" w:customStyle="1" w:styleId="apple-converted-space">
    <w:name w:val="apple-converted-space"/>
    <w:basedOn w:val="DefaultParagraphFont"/>
    <w:uiPriority w:val="99"/>
    <w:rsid w:val="00F82CC9"/>
    <w:rPr>
      <w:rFonts w:cs="Times New Roman"/>
    </w:rPr>
  </w:style>
  <w:style w:type="character" w:styleId="Hyperlink">
    <w:name w:val="Hyperlink"/>
    <w:basedOn w:val="DefaultParagraphFont"/>
    <w:uiPriority w:val="99"/>
    <w:rsid w:val="00A82D87"/>
    <w:rPr>
      <w:rFonts w:cs="Times New Roman"/>
      <w:color w:val="0000FF"/>
      <w:u w:val="single"/>
    </w:rPr>
  </w:style>
  <w:style w:type="table" w:styleId="TableGrid">
    <w:name w:val="Table Grid"/>
    <w:basedOn w:val="TableNormal"/>
    <w:uiPriority w:val="99"/>
    <w:locked/>
    <w:rsid w:val="00A331B4"/>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161312"/>
    <w:rPr>
      <w:i/>
      <w:iCs/>
    </w:rPr>
  </w:style>
  <w:style w:type="character" w:customStyle="1" w:styleId="Heading1Char">
    <w:name w:val="Heading 1 Char"/>
    <w:basedOn w:val="DefaultParagraphFont"/>
    <w:link w:val="Heading1"/>
    <w:rsid w:val="00161312"/>
    <w:rPr>
      <w:rFonts w:asciiTheme="majorHAnsi" w:eastAsiaTheme="majorEastAsia" w:hAnsiTheme="majorHAnsi" w:cstheme="majorBidi"/>
      <w:b/>
      <w:bCs/>
      <w:kern w:val="32"/>
      <w:sz w:val="32"/>
      <w:szCs w:val="32"/>
      <w:lang w:val="fr-CA" w:eastAsia="fr-CA"/>
    </w:rPr>
  </w:style>
  <w:style w:type="character" w:customStyle="1" w:styleId="Heading2Char">
    <w:name w:val="Heading 2 Char"/>
    <w:basedOn w:val="DefaultParagraphFont"/>
    <w:link w:val="Heading2"/>
    <w:rsid w:val="00161312"/>
    <w:rPr>
      <w:rFonts w:asciiTheme="majorHAnsi" w:eastAsiaTheme="majorEastAsia" w:hAnsiTheme="majorHAnsi" w:cstheme="majorBidi"/>
      <w:b/>
      <w:bCs/>
      <w:i/>
      <w:iCs/>
      <w:sz w:val="28"/>
      <w:szCs w:val="28"/>
      <w:lang w:val="fr-CA" w:eastAsia="fr-CA"/>
    </w:rPr>
  </w:style>
  <w:style w:type="character" w:customStyle="1" w:styleId="Heading3Char">
    <w:name w:val="Heading 3 Char"/>
    <w:basedOn w:val="DefaultParagraphFont"/>
    <w:link w:val="Heading3"/>
    <w:rsid w:val="00161312"/>
    <w:rPr>
      <w:rFonts w:asciiTheme="majorHAnsi" w:eastAsiaTheme="majorEastAsia" w:hAnsiTheme="majorHAnsi" w:cstheme="majorBidi"/>
      <w:b/>
      <w:bCs/>
      <w:sz w:val="26"/>
      <w:szCs w:val="26"/>
      <w:lang w:val="fr-CA" w:eastAsia="fr-CA"/>
    </w:rPr>
  </w:style>
  <w:style w:type="character" w:styleId="Strong">
    <w:name w:val="Strong"/>
    <w:basedOn w:val="DefaultParagraphFont"/>
    <w:qFormat/>
    <w:locked/>
    <w:rsid w:val="00161312"/>
    <w:rPr>
      <w:b/>
      <w:bCs/>
    </w:rPr>
  </w:style>
  <w:style w:type="paragraph" w:styleId="Revision">
    <w:name w:val="Revision"/>
    <w:hidden/>
    <w:uiPriority w:val="99"/>
    <w:semiHidden/>
    <w:rsid w:val="004B4E5C"/>
  </w:style>
  <w:style w:type="paragraph" w:styleId="FootnoteText">
    <w:name w:val="footnote text"/>
    <w:basedOn w:val="Normal"/>
    <w:link w:val="FootnoteTextChar"/>
    <w:uiPriority w:val="99"/>
    <w:semiHidden/>
    <w:rsid w:val="00B56CA8"/>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B56CA8"/>
    <w:rPr>
      <w:rFonts w:ascii="Times New Roman" w:eastAsia="Times New Roman" w:hAnsi="Times New Roman"/>
      <w:sz w:val="20"/>
      <w:szCs w:val="20"/>
      <w:lang w:val="fr-CA" w:eastAsia="fr-CA"/>
    </w:rPr>
  </w:style>
  <w:style w:type="paragraph" w:customStyle="1" w:styleId="subsection-e">
    <w:name w:val="subsection-e"/>
    <w:basedOn w:val="Normal"/>
    <w:rsid w:val="00FB25C4"/>
    <w:pPr>
      <w:widowControl/>
      <w:snapToGrid w:val="0"/>
    </w:pPr>
    <w:rPr>
      <w:rFonts w:ascii="Times New Roman" w:eastAsia="Times New Roman" w:hAnsi="Times New Roman"/>
      <w:sz w:val="26"/>
      <w:szCs w:val="26"/>
    </w:rPr>
  </w:style>
  <w:style w:type="paragraph" w:styleId="NormalWeb">
    <w:name w:val="Normal (Web)"/>
    <w:basedOn w:val="Normal"/>
    <w:uiPriority w:val="99"/>
    <w:rsid w:val="00EB5E28"/>
    <w:pPr>
      <w:widowControl/>
      <w:spacing w:before="100" w:beforeAutospacing="1" w:after="100" w:afterAutospacing="1"/>
    </w:pPr>
    <w:rPr>
      <w:rFonts w:ascii="Times New Roman" w:eastAsia="Times New Roman" w:hAnsi="Times New Roman"/>
      <w:sz w:val="24"/>
      <w:szCs w:val="24"/>
    </w:rPr>
  </w:style>
  <w:style w:type="paragraph" w:styleId="E-mailSignature">
    <w:name w:val="E-mail Signature"/>
    <w:basedOn w:val="Normal"/>
    <w:link w:val="E-mailSignatureChar"/>
    <w:rsid w:val="00E65CCD"/>
    <w:pPr>
      <w:widowControl/>
      <w:spacing w:before="100" w:beforeAutospacing="1" w:after="100" w:afterAutospacing="1"/>
    </w:pPr>
    <w:rPr>
      <w:rFonts w:ascii="Times New Roman" w:eastAsia="Times New Roman" w:hAnsi="Times New Roman"/>
      <w:sz w:val="24"/>
      <w:szCs w:val="24"/>
    </w:rPr>
  </w:style>
  <w:style w:type="character" w:customStyle="1" w:styleId="E-mailSignatureChar">
    <w:name w:val="E-mail Signature Char"/>
    <w:basedOn w:val="DefaultParagraphFont"/>
    <w:link w:val="E-mailSignature"/>
    <w:rsid w:val="00E65CCD"/>
    <w:rPr>
      <w:rFonts w:ascii="Times New Roman" w:eastAsia="Times New Roman" w:hAnsi="Times New Roman"/>
      <w:sz w:val="24"/>
      <w:szCs w:val="24"/>
    </w:rPr>
  </w:style>
  <w:style w:type="paragraph" w:customStyle="1" w:styleId="subpara-e">
    <w:name w:val="subpara-e"/>
    <w:basedOn w:val="Normal"/>
    <w:rsid w:val="009900D8"/>
    <w:pPr>
      <w:widowControl/>
      <w:snapToGrid w:val="0"/>
      <w:ind w:left="1910" w:hanging="1910"/>
    </w:pPr>
    <w:rPr>
      <w:rFonts w:ascii="Times New Roman" w:eastAsia="Times New Roman" w:hAnsi="Times New Roman"/>
      <w:sz w:val="26"/>
      <w:szCs w:val="26"/>
    </w:rPr>
  </w:style>
  <w:style w:type="character" w:styleId="FootnoteReference">
    <w:name w:val="footnote reference"/>
    <w:basedOn w:val="DefaultParagraphFont"/>
    <w:uiPriority w:val="99"/>
    <w:semiHidden/>
    <w:unhideWhenUsed/>
    <w:rsid w:val="001629CC"/>
    <w:rPr>
      <w:vertAlign w:val="superscript"/>
    </w:rPr>
  </w:style>
  <w:style w:type="paragraph" w:customStyle="1" w:styleId="msolistparagraph0">
    <w:name w:val="msolistparagraph"/>
    <w:basedOn w:val="Normal"/>
    <w:rsid w:val="00335638"/>
    <w:pPr>
      <w:widowControl/>
      <w:ind w:left="720"/>
    </w:pPr>
    <w:rPr>
      <w:rFonts w:eastAsia="Times New Roman"/>
    </w:rPr>
  </w:style>
  <w:style w:type="paragraph" w:styleId="EndnoteText">
    <w:name w:val="endnote text"/>
    <w:basedOn w:val="Normal"/>
    <w:link w:val="EndnoteTextChar"/>
    <w:uiPriority w:val="99"/>
    <w:semiHidden/>
    <w:unhideWhenUsed/>
    <w:rsid w:val="009A1EAA"/>
    <w:rPr>
      <w:sz w:val="20"/>
      <w:szCs w:val="20"/>
    </w:rPr>
  </w:style>
  <w:style w:type="character" w:customStyle="1" w:styleId="EndnoteTextChar">
    <w:name w:val="Endnote Text Char"/>
    <w:basedOn w:val="DefaultParagraphFont"/>
    <w:link w:val="EndnoteText"/>
    <w:uiPriority w:val="99"/>
    <w:semiHidden/>
    <w:rsid w:val="009A1EAA"/>
    <w:rPr>
      <w:sz w:val="20"/>
      <w:szCs w:val="20"/>
      <w:lang w:eastAsia="fr-CA"/>
    </w:rPr>
  </w:style>
  <w:style w:type="character" w:styleId="EndnoteReference">
    <w:name w:val="endnote reference"/>
    <w:basedOn w:val="DefaultParagraphFont"/>
    <w:uiPriority w:val="99"/>
    <w:semiHidden/>
    <w:unhideWhenUsed/>
    <w:rsid w:val="009A1EAA"/>
    <w:rPr>
      <w:vertAlign w:val="superscript"/>
    </w:rPr>
  </w:style>
  <w:style w:type="character" w:customStyle="1" w:styleId="st1">
    <w:name w:val="st1"/>
    <w:basedOn w:val="DefaultParagraphFont"/>
    <w:rsid w:val="00662174"/>
  </w:style>
  <w:style w:type="paragraph" w:styleId="TOCHeading">
    <w:name w:val="TOC Heading"/>
    <w:basedOn w:val="Heading1"/>
    <w:next w:val="Normal"/>
    <w:uiPriority w:val="39"/>
    <w:semiHidden/>
    <w:unhideWhenUsed/>
    <w:qFormat/>
    <w:rsid w:val="0089411F"/>
    <w:pPr>
      <w:keepLines/>
      <w:widowControl/>
      <w:spacing w:before="480" w:after="0" w:line="276" w:lineRule="auto"/>
      <w:outlineLvl w:val="9"/>
    </w:pPr>
    <w:rPr>
      <w:color w:val="365F91" w:themeColor="accent1" w:themeShade="BF"/>
      <w:kern w:val="0"/>
      <w:sz w:val="28"/>
      <w:szCs w:val="28"/>
    </w:rPr>
  </w:style>
  <w:style w:type="paragraph" w:styleId="TOC1">
    <w:name w:val="toc 1"/>
    <w:basedOn w:val="Normal"/>
    <w:next w:val="Normal"/>
    <w:autoRedefine/>
    <w:uiPriority w:val="39"/>
    <w:qFormat/>
    <w:locked/>
    <w:rsid w:val="000709E7"/>
    <w:pPr>
      <w:tabs>
        <w:tab w:val="right" w:leader="dot" w:pos="14850"/>
      </w:tabs>
      <w:spacing w:after="100"/>
    </w:pPr>
  </w:style>
  <w:style w:type="paragraph" w:styleId="TOC2">
    <w:name w:val="toc 2"/>
    <w:basedOn w:val="Normal"/>
    <w:next w:val="Normal"/>
    <w:autoRedefine/>
    <w:uiPriority w:val="39"/>
    <w:unhideWhenUsed/>
    <w:qFormat/>
    <w:locked/>
    <w:rsid w:val="0089411F"/>
    <w:pPr>
      <w:widowControl/>
      <w:spacing w:after="100" w:line="276" w:lineRule="auto"/>
      <w:ind w:left="22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89411F"/>
    <w:pPr>
      <w:widowControl/>
      <w:spacing w:after="100" w:line="276" w:lineRule="auto"/>
      <w:ind w:left="440"/>
    </w:pPr>
    <w:rPr>
      <w:rFonts w:asciiTheme="minorHAnsi" w:eastAsiaTheme="minorEastAsia" w:hAnsiTheme="minorHAnsi" w:cstheme="minorBidi"/>
    </w:rPr>
  </w:style>
  <w:style w:type="paragraph" w:styleId="NoSpacing">
    <w:name w:val="No Spacing"/>
    <w:uiPriority w:val="1"/>
    <w:qFormat/>
    <w:rsid w:val="004F4C7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1035">
      <w:bodyDiv w:val="1"/>
      <w:marLeft w:val="0"/>
      <w:marRight w:val="0"/>
      <w:marTop w:val="0"/>
      <w:marBottom w:val="0"/>
      <w:divBdr>
        <w:top w:val="none" w:sz="0" w:space="0" w:color="auto"/>
        <w:left w:val="none" w:sz="0" w:space="0" w:color="auto"/>
        <w:bottom w:val="none" w:sz="0" w:space="0" w:color="auto"/>
        <w:right w:val="none" w:sz="0" w:space="0" w:color="auto"/>
      </w:divBdr>
    </w:div>
    <w:div w:id="157616580">
      <w:bodyDiv w:val="1"/>
      <w:marLeft w:val="0"/>
      <w:marRight w:val="0"/>
      <w:marTop w:val="0"/>
      <w:marBottom w:val="0"/>
      <w:divBdr>
        <w:top w:val="none" w:sz="0" w:space="0" w:color="auto"/>
        <w:left w:val="none" w:sz="0" w:space="0" w:color="auto"/>
        <w:bottom w:val="none" w:sz="0" w:space="0" w:color="auto"/>
        <w:right w:val="none" w:sz="0" w:space="0" w:color="auto"/>
      </w:divBdr>
    </w:div>
    <w:div w:id="168254368">
      <w:bodyDiv w:val="1"/>
      <w:marLeft w:val="0"/>
      <w:marRight w:val="0"/>
      <w:marTop w:val="0"/>
      <w:marBottom w:val="0"/>
      <w:divBdr>
        <w:top w:val="none" w:sz="0" w:space="0" w:color="auto"/>
        <w:left w:val="none" w:sz="0" w:space="0" w:color="auto"/>
        <w:bottom w:val="none" w:sz="0" w:space="0" w:color="auto"/>
        <w:right w:val="none" w:sz="0" w:space="0" w:color="auto"/>
      </w:divBdr>
    </w:div>
    <w:div w:id="192889509">
      <w:bodyDiv w:val="1"/>
      <w:marLeft w:val="0"/>
      <w:marRight w:val="0"/>
      <w:marTop w:val="0"/>
      <w:marBottom w:val="0"/>
      <w:divBdr>
        <w:top w:val="none" w:sz="0" w:space="0" w:color="auto"/>
        <w:left w:val="none" w:sz="0" w:space="0" w:color="auto"/>
        <w:bottom w:val="none" w:sz="0" w:space="0" w:color="auto"/>
        <w:right w:val="none" w:sz="0" w:space="0" w:color="auto"/>
      </w:divBdr>
    </w:div>
    <w:div w:id="262225515">
      <w:bodyDiv w:val="1"/>
      <w:marLeft w:val="0"/>
      <w:marRight w:val="0"/>
      <w:marTop w:val="0"/>
      <w:marBottom w:val="0"/>
      <w:divBdr>
        <w:top w:val="none" w:sz="0" w:space="0" w:color="auto"/>
        <w:left w:val="none" w:sz="0" w:space="0" w:color="auto"/>
        <w:bottom w:val="none" w:sz="0" w:space="0" w:color="auto"/>
        <w:right w:val="none" w:sz="0" w:space="0" w:color="auto"/>
      </w:divBdr>
    </w:div>
    <w:div w:id="277300354">
      <w:bodyDiv w:val="1"/>
      <w:marLeft w:val="0"/>
      <w:marRight w:val="0"/>
      <w:marTop w:val="0"/>
      <w:marBottom w:val="0"/>
      <w:divBdr>
        <w:top w:val="none" w:sz="0" w:space="0" w:color="auto"/>
        <w:left w:val="none" w:sz="0" w:space="0" w:color="auto"/>
        <w:bottom w:val="none" w:sz="0" w:space="0" w:color="auto"/>
        <w:right w:val="none" w:sz="0" w:space="0" w:color="auto"/>
      </w:divBdr>
    </w:div>
    <w:div w:id="379937258">
      <w:bodyDiv w:val="1"/>
      <w:marLeft w:val="0"/>
      <w:marRight w:val="0"/>
      <w:marTop w:val="0"/>
      <w:marBottom w:val="0"/>
      <w:divBdr>
        <w:top w:val="none" w:sz="0" w:space="0" w:color="auto"/>
        <w:left w:val="none" w:sz="0" w:space="0" w:color="auto"/>
        <w:bottom w:val="none" w:sz="0" w:space="0" w:color="auto"/>
        <w:right w:val="none" w:sz="0" w:space="0" w:color="auto"/>
      </w:divBdr>
    </w:div>
    <w:div w:id="424307197">
      <w:bodyDiv w:val="1"/>
      <w:marLeft w:val="0"/>
      <w:marRight w:val="0"/>
      <w:marTop w:val="0"/>
      <w:marBottom w:val="0"/>
      <w:divBdr>
        <w:top w:val="none" w:sz="0" w:space="0" w:color="auto"/>
        <w:left w:val="none" w:sz="0" w:space="0" w:color="auto"/>
        <w:bottom w:val="none" w:sz="0" w:space="0" w:color="auto"/>
        <w:right w:val="none" w:sz="0" w:space="0" w:color="auto"/>
      </w:divBdr>
    </w:div>
    <w:div w:id="425032284">
      <w:bodyDiv w:val="1"/>
      <w:marLeft w:val="0"/>
      <w:marRight w:val="0"/>
      <w:marTop w:val="0"/>
      <w:marBottom w:val="0"/>
      <w:divBdr>
        <w:top w:val="none" w:sz="0" w:space="0" w:color="auto"/>
        <w:left w:val="none" w:sz="0" w:space="0" w:color="auto"/>
        <w:bottom w:val="none" w:sz="0" w:space="0" w:color="auto"/>
        <w:right w:val="none" w:sz="0" w:space="0" w:color="auto"/>
      </w:divBdr>
    </w:div>
    <w:div w:id="487785973">
      <w:bodyDiv w:val="1"/>
      <w:marLeft w:val="0"/>
      <w:marRight w:val="0"/>
      <w:marTop w:val="0"/>
      <w:marBottom w:val="0"/>
      <w:divBdr>
        <w:top w:val="none" w:sz="0" w:space="0" w:color="auto"/>
        <w:left w:val="none" w:sz="0" w:space="0" w:color="auto"/>
        <w:bottom w:val="none" w:sz="0" w:space="0" w:color="auto"/>
        <w:right w:val="none" w:sz="0" w:space="0" w:color="auto"/>
      </w:divBdr>
    </w:div>
    <w:div w:id="497621919">
      <w:bodyDiv w:val="1"/>
      <w:marLeft w:val="0"/>
      <w:marRight w:val="0"/>
      <w:marTop w:val="0"/>
      <w:marBottom w:val="0"/>
      <w:divBdr>
        <w:top w:val="none" w:sz="0" w:space="0" w:color="auto"/>
        <w:left w:val="none" w:sz="0" w:space="0" w:color="auto"/>
        <w:bottom w:val="none" w:sz="0" w:space="0" w:color="auto"/>
        <w:right w:val="none" w:sz="0" w:space="0" w:color="auto"/>
      </w:divBdr>
    </w:div>
    <w:div w:id="514152742">
      <w:bodyDiv w:val="1"/>
      <w:marLeft w:val="0"/>
      <w:marRight w:val="0"/>
      <w:marTop w:val="0"/>
      <w:marBottom w:val="0"/>
      <w:divBdr>
        <w:top w:val="none" w:sz="0" w:space="0" w:color="auto"/>
        <w:left w:val="none" w:sz="0" w:space="0" w:color="auto"/>
        <w:bottom w:val="none" w:sz="0" w:space="0" w:color="auto"/>
        <w:right w:val="none" w:sz="0" w:space="0" w:color="auto"/>
      </w:divBdr>
    </w:div>
    <w:div w:id="544633884">
      <w:bodyDiv w:val="1"/>
      <w:marLeft w:val="0"/>
      <w:marRight w:val="0"/>
      <w:marTop w:val="0"/>
      <w:marBottom w:val="0"/>
      <w:divBdr>
        <w:top w:val="none" w:sz="0" w:space="0" w:color="auto"/>
        <w:left w:val="none" w:sz="0" w:space="0" w:color="auto"/>
        <w:bottom w:val="none" w:sz="0" w:space="0" w:color="auto"/>
        <w:right w:val="none" w:sz="0" w:space="0" w:color="auto"/>
      </w:divBdr>
      <w:divsChild>
        <w:div w:id="304310818">
          <w:marLeft w:val="2016"/>
          <w:marRight w:val="0"/>
          <w:marTop w:val="58"/>
          <w:marBottom w:val="0"/>
          <w:divBdr>
            <w:top w:val="none" w:sz="0" w:space="0" w:color="auto"/>
            <w:left w:val="none" w:sz="0" w:space="0" w:color="auto"/>
            <w:bottom w:val="none" w:sz="0" w:space="0" w:color="auto"/>
            <w:right w:val="none" w:sz="0" w:space="0" w:color="auto"/>
          </w:divBdr>
        </w:div>
        <w:div w:id="523132298">
          <w:marLeft w:val="547"/>
          <w:marRight w:val="0"/>
          <w:marTop w:val="58"/>
          <w:marBottom w:val="0"/>
          <w:divBdr>
            <w:top w:val="none" w:sz="0" w:space="0" w:color="auto"/>
            <w:left w:val="none" w:sz="0" w:space="0" w:color="auto"/>
            <w:bottom w:val="none" w:sz="0" w:space="0" w:color="auto"/>
            <w:right w:val="none" w:sz="0" w:space="0" w:color="auto"/>
          </w:divBdr>
        </w:div>
        <w:div w:id="1164199622">
          <w:marLeft w:val="1584"/>
          <w:marRight w:val="0"/>
          <w:marTop w:val="58"/>
          <w:marBottom w:val="0"/>
          <w:divBdr>
            <w:top w:val="none" w:sz="0" w:space="0" w:color="auto"/>
            <w:left w:val="none" w:sz="0" w:space="0" w:color="auto"/>
            <w:bottom w:val="none" w:sz="0" w:space="0" w:color="auto"/>
            <w:right w:val="none" w:sz="0" w:space="0" w:color="auto"/>
          </w:divBdr>
        </w:div>
        <w:div w:id="1294217258">
          <w:marLeft w:val="1584"/>
          <w:marRight w:val="0"/>
          <w:marTop w:val="58"/>
          <w:marBottom w:val="0"/>
          <w:divBdr>
            <w:top w:val="none" w:sz="0" w:space="0" w:color="auto"/>
            <w:left w:val="none" w:sz="0" w:space="0" w:color="auto"/>
            <w:bottom w:val="none" w:sz="0" w:space="0" w:color="auto"/>
            <w:right w:val="none" w:sz="0" w:space="0" w:color="auto"/>
          </w:divBdr>
        </w:div>
        <w:div w:id="1333533183">
          <w:marLeft w:val="547"/>
          <w:marRight w:val="0"/>
          <w:marTop w:val="58"/>
          <w:marBottom w:val="0"/>
          <w:divBdr>
            <w:top w:val="none" w:sz="0" w:space="0" w:color="auto"/>
            <w:left w:val="none" w:sz="0" w:space="0" w:color="auto"/>
            <w:bottom w:val="none" w:sz="0" w:space="0" w:color="auto"/>
            <w:right w:val="none" w:sz="0" w:space="0" w:color="auto"/>
          </w:divBdr>
        </w:div>
        <w:div w:id="1732339783">
          <w:marLeft w:val="1584"/>
          <w:marRight w:val="0"/>
          <w:marTop w:val="58"/>
          <w:marBottom w:val="0"/>
          <w:divBdr>
            <w:top w:val="none" w:sz="0" w:space="0" w:color="auto"/>
            <w:left w:val="none" w:sz="0" w:space="0" w:color="auto"/>
            <w:bottom w:val="none" w:sz="0" w:space="0" w:color="auto"/>
            <w:right w:val="none" w:sz="0" w:space="0" w:color="auto"/>
          </w:divBdr>
        </w:div>
        <w:div w:id="1826505386">
          <w:marLeft w:val="1584"/>
          <w:marRight w:val="0"/>
          <w:marTop w:val="58"/>
          <w:marBottom w:val="0"/>
          <w:divBdr>
            <w:top w:val="none" w:sz="0" w:space="0" w:color="auto"/>
            <w:left w:val="none" w:sz="0" w:space="0" w:color="auto"/>
            <w:bottom w:val="none" w:sz="0" w:space="0" w:color="auto"/>
            <w:right w:val="none" w:sz="0" w:space="0" w:color="auto"/>
          </w:divBdr>
        </w:div>
      </w:divsChild>
    </w:div>
    <w:div w:id="599795378">
      <w:bodyDiv w:val="1"/>
      <w:marLeft w:val="0"/>
      <w:marRight w:val="0"/>
      <w:marTop w:val="0"/>
      <w:marBottom w:val="0"/>
      <w:divBdr>
        <w:top w:val="none" w:sz="0" w:space="0" w:color="auto"/>
        <w:left w:val="none" w:sz="0" w:space="0" w:color="auto"/>
        <w:bottom w:val="none" w:sz="0" w:space="0" w:color="auto"/>
        <w:right w:val="none" w:sz="0" w:space="0" w:color="auto"/>
      </w:divBdr>
    </w:div>
    <w:div w:id="606812935">
      <w:bodyDiv w:val="1"/>
      <w:marLeft w:val="0"/>
      <w:marRight w:val="0"/>
      <w:marTop w:val="0"/>
      <w:marBottom w:val="0"/>
      <w:divBdr>
        <w:top w:val="none" w:sz="0" w:space="0" w:color="auto"/>
        <w:left w:val="none" w:sz="0" w:space="0" w:color="auto"/>
        <w:bottom w:val="none" w:sz="0" w:space="0" w:color="auto"/>
        <w:right w:val="none" w:sz="0" w:space="0" w:color="auto"/>
      </w:divBdr>
    </w:div>
    <w:div w:id="625699614">
      <w:bodyDiv w:val="1"/>
      <w:marLeft w:val="0"/>
      <w:marRight w:val="0"/>
      <w:marTop w:val="0"/>
      <w:marBottom w:val="0"/>
      <w:divBdr>
        <w:top w:val="none" w:sz="0" w:space="0" w:color="auto"/>
        <w:left w:val="none" w:sz="0" w:space="0" w:color="auto"/>
        <w:bottom w:val="none" w:sz="0" w:space="0" w:color="auto"/>
        <w:right w:val="none" w:sz="0" w:space="0" w:color="auto"/>
      </w:divBdr>
    </w:div>
    <w:div w:id="631324450">
      <w:bodyDiv w:val="1"/>
      <w:marLeft w:val="0"/>
      <w:marRight w:val="0"/>
      <w:marTop w:val="0"/>
      <w:marBottom w:val="0"/>
      <w:divBdr>
        <w:top w:val="none" w:sz="0" w:space="0" w:color="auto"/>
        <w:left w:val="none" w:sz="0" w:space="0" w:color="auto"/>
        <w:bottom w:val="none" w:sz="0" w:space="0" w:color="auto"/>
        <w:right w:val="none" w:sz="0" w:space="0" w:color="auto"/>
      </w:divBdr>
    </w:div>
    <w:div w:id="665783203">
      <w:bodyDiv w:val="1"/>
      <w:marLeft w:val="0"/>
      <w:marRight w:val="0"/>
      <w:marTop w:val="0"/>
      <w:marBottom w:val="0"/>
      <w:divBdr>
        <w:top w:val="none" w:sz="0" w:space="0" w:color="auto"/>
        <w:left w:val="none" w:sz="0" w:space="0" w:color="auto"/>
        <w:bottom w:val="none" w:sz="0" w:space="0" w:color="auto"/>
        <w:right w:val="none" w:sz="0" w:space="0" w:color="auto"/>
      </w:divBdr>
    </w:div>
    <w:div w:id="672299511">
      <w:bodyDiv w:val="1"/>
      <w:marLeft w:val="0"/>
      <w:marRight w:val="0"/>
      <w:marTop w:val="0"/>
      <w:marBottom w:val="0"/>
      <w:divBdr>
        <w:top w:val="none" w:sz="0" w:space="0" w:color="auto"/>
        <w:left w:val="none" w:sz="0" w:space="0" w:color="auto"/>
        <w:bottom w:val="none" w:sz="0" w:space="0" w:color="auto"/>
        <w:right w:val="none" w:sz="0" w:space="0" w:color="auto"/>
      </w:divBdr>
    </w:div>
    <w:div w:id="720903636">
      <w:bodyDiv w:val="1"/>
      <w:marLeft w:val="0"/>
      <w:marRight w:val="0"/>
      <w:marTop w:val="0"/>
      <w:marBottom w:val="0"/>
      <w:divBdr>
        <w:top w:val="none" w:sz="0" w:space="0" w:color="auto"/>
        <w:left w:val="none" w:sz="0" w:space="0" w:color="auto"/>
        <w:bottom w:val="none" w:sz="0" w:space="0" w:color="auto"/>
        <w:right w:val="none" w:sz="0" w:space="0" w:color="auto"/>
      </w:divBdr>
    </w:div>
    <w:div w:id="721489695">
      <w:bodyDiv w:val="1"/>
      <w:marLeft w:val="0"/>
      <w:marRight w:val="0"/>
      <w:marTop w:val="0"/>
      <w:marBottom w:val="0"/>
      <w:divBdr>
        <w:top w:val="none" w:sz="0" w:space="0" w:color="auto"/>
        <w:left w:val="none" w:sz="0" w:space="0" w:color="auto"/>
        <w:bottom w:val="none" w:sz="0" w:space="0" w:color="auto"/>
        <w:right w:val="none" w:sz="0" w:space="0" w:color="auto"/>
      </w:divBdr>
    </w:div>
    <w:div w:id="764618394">
      <w:bodyDiv w:val="1"/>
      <w:marLeft w:val="0"/>
      <w:marRight w:val="0"/>
      <w:marTop w:val="0"/>
      <w:marBottom w:val="0"/>
      <w:divBdr>
        <w:top w:val="none" w:sz="0" w:space="0" w:color="auto"/>
        <w:left w:val="none" w:sz="0" w:space="0" w:color="auto"/>
        <w:bottom w:val="none" w:sz="0" w:space="0" w:color="auto"/>
        <w:right w:val="none" w:sz="0" w:space="0" w:color="auto"/>
      </w:divBdr>
    </w:div>
    <w:div w:id="876356200">
      <w:bodyDiv w:val="1"/>
      <w:marLeft w:val="0"/>
      <w:marRight w:val="0"/>
      <w:marTop w:val="0"/>
      <w:marBottom w:val="0"/>
      <w:divBdr>
        <w:top w:val="none" w:sz="0" w:space="0" w:color="auto"/>
        <w:left w:val="none" w:sz="0" w:space="0" w:color="auto"/>
        <w:bottom w:val="none" w:sz="0" w:space="0" w:color="auto"/>
        <w:right w:val="none" w:sz="0" w:space="0" w:color="auto"/>
      </w:divBdr>
    </w:div>
    <w:div w:id="894782440">
      <w:bodyDiv w:val="1"/>
      <w:marLeft w:val="0"/>
      <w:marRight w:val="0"/>
      <w:marTop w:val="0"/>
      <w:marBottom w:val="0"/>
      <w:divBdr>
        <w:top w:val="none" w:sz="0" w:space="0" w:color="auto"/>
        <w:left w:val="none" w:sz="0" w:space="0" w:color="auto"/>
        <w:bottom w:val="none" w:sz="0" w:space="0" w:color="auto"/>
        <w:right w:val="none" w:sz="0" w:space="0" w:color="auto"/>
      </w:divBdr>
    </w:div>
    <w:div w:id="963314547">
      <w:bodyDiv w:val="1"/>
      <w:marLeft w:val="0"/>
      <w:marRight w:val="0"/>
      <w:marTop w:val="0"/>
      <w:marBottom w:val="0"/>
      <w:divBdr>
        <w:top w:val="none" w:sz="0" w:space="0" w:color="auto"/>
        <w:left w:val="none" w:sz="0" w:space="0" w:color="auto"/>
        <w:bottom w:val="none" w:sz="0" w:space="0" w:color="auto"/>
        <w:right w:val="none" w:sz="0" w:space="0" w:color="auto"/>
      </w:divBdr>
    </w:div>
    <w:div w:id="968510744">
      <w:bodyDiv w:val="1"/>
      <w:marLeft w:val="0"/>
      <w:marRight w:val="0"/>
      <w:marTop w:val="0"/>
      <w:marBottom w:val="0"/>
      <w:divBdr>
        <w:top w:val="none" w:sz="0" w:space="0" w:color="auto"/>
        <w:left w:val="none" w:sz="0" w:space="0" w:color="auto"/>
        <w:bottom w:val="none" w:sz="0" w:space="0" w:color="auto"/>
        <w:right w:val="none" w:sz="0" w:space="0" w:color="auto"/>
      </w:divBdr>
    </w:div>
    <w:div w:id="983851622">
      <w:bodyDiv w:val="1"/>
      <w:marLeft w:val="0"/>
      <w:marRight w:val="0"/>
      <w:marTop w:val="0"/>
      <w:marBottom w:val="0"/>
      <w:divBdr>
        <w:top w:val="none" w:sz="0" w:space="0" w:color="auto"/>
        <w:left w:val="none" w:sz="0" w:space="0" w:color="auto"/>
        <w:bottom w:val="none" w:sz="0" w:space="0" w:color="auto"/>
        <w:right w:val="none" w:sz="0" w:space="0" w:color="auto"/>
      </w:divBdr>
    </w:div>
    <w:div w:id="1002782069">
      <w:bodyDiv w:val="1"/>
      <w:marLeft w:val="0"/>
      <w:marRight w:val="0"/>
      <w:marTop w:val="0"/>
      <w:marBottom w:val="0"/>
      <w:divBdr>
        <w:top w:val="none" w:sz="0" w:space="0" w:color="auto"/>
        <w:left w:val="none" w:sz="0" w:space="0" w:color="auto"/>
        <w:bottom w:val="none" w:sz="0" w:space="0" w:color="auto"/>
        <w:right w:val="none" w:sz="0" w:space="0" w:color="auto"/>
      </w:divBdr>
    </w:div>
    <w:div w:id="1044401018">
      <w:bodyDiv w:val="1"/>
      <w:marLeft w:val="0"/>
      <w:marRight w:val="0"/>
      <w:marTop w:val="0"/>
      <w:marBottom w:val="0"/>
      <w:divBdr>
        <w:top w:val="none" w:sz="0" w:space="0" w:color="auto"/>
        <w:left w:val="none" w:sz="0" w:space="0" w:color="auto"/>
        <w:bottom w:val="none" w:sz="0" w:space="0" w:color="auto"/>
        <w:right w:val="none" w:sz="0" w:space="0" w:color="auto"/>
      </w:divBdr>
    </w:div>
    <w:div w:id="1073508453">
      <w:bodyDiv w:val="1"/>
      <w:marLeft w:val="0"/>
      <w:marRight w:val="0"/>
      <w:marTop w:val="0"/>
      <w:marBottom w:val="0"/>
      <w:divBdr>
        <w:top w:val="none" w:sz="0" w:space="0" w:color="auto"/>
        <w:left w:val="none" w:sz="0" w:space="0" w:color="auto"/>
        <w:bottom w:val="none" w:sz="0" w:space="0" w:color="auto"/>
        <w:right w:val="none" w:sz="0" w:space="0" w:color="auto"/>
      </w:divBdr>
    </w:div>
    <w:div w:id="1098991147">
      <w:bodyDiv w:val="1"/>
      <w:marLeft w:val="0"/>
      <w:marRight w:val="0"/>
      <w:marTop w:val="0"/>
      <w:marBottom w:val="0"/>
      <w:divBdr>
        <w:top w:val="none" w:sz="0" w:space="0" w:color="auto"/>
        <w:left w:val="none" w:sz="0" w:space="0" w:color="auto"/>
        <w:bottom w:val="none" w:sz="0" w:space="0" w:color="auto"/>
        <w:right w:val="none" w:sz="0" w:space="0" w:color="auto"/>
      </w:divBdr>
    </w:div>
    <w:div w:id="1167013152">
      <w:bodyDiv w:val="1"/>
      <w:marLeft w:val="0"/>
      <w:marRight w:val="0"/>
      <w:marTop w:val="0"/>
      <w:marBottom w:val="0"/>
      <w:divBdr>
        <w:top w:val="none" w:sz="0" w:space="0" w:color="auto"/>
        <w:left w:val="none" w:sz="0" w:space="0" w:color="auto"/>
        <w:bottom w:val="none" w:sz="0" w:space="0" w:color="auto"/>
        <w:right w:val="none" w:sz="0" w:space="0" w:color="auto"/>
      </w:divBdr>
    </w:div>
    <w:div w:id="1196842740">
      <w:bodyDiv w:val="1"/>
      <w:marLeft w:val="0"/>
      <w:marRight w:val="0"/>
      <w:marTop w:val="0"/>
      <w:marBottom w:val="0"/>
      <w:divBdr>
        <w:top w:val="none" w:sz="0" w:space="0" w:color="auto"/>
        <w:left w:val="none" w:sz="0" w:space="0" w:color="auto"/>
        <w:bottom w:val="none" w:sz="0" w:space="0" w:color="auto"/>
        <w:right w:val="none" w:sz="0" w:space="0" w:color="auto"/>
      </w:divBdr>
    </w:div>
    <w:div w:id="1197163517">
      <w:bodyDiv w:val="1"/>
      <w:marLeft w:val="0"/>
      <w:marRight w:val="0"/>
      <w:marTop w:val="0"/>
      <w:marBottom w:val="0"/>
      <w:divBdr>
        <w:top w:val="none" w:sz="0" w:space="0" w:color="auto"/>
        <w:left w:val="none" w:sz="0" w:space="0" w:color="auto"/>
        <w:bottom w:val="none" w:sz="0" w:space="0" w:color="auto"/>
        <w:right w:val="none" w:sz="0" w:space="0" w:color="auto"/>
      </w:divBdr>
    </w:div>
    <w:div w:id="1197616880">
      <w:bodyDiv w:val="1"/>
      <w:marLeft w:val="0"/>
      <w:marRight w:val="0"/>
      <w:marTop w:val="0"/>
      <w:marBottom w:val="0"/>
      <w:divBdr>
        <w:top w:val="none" w:sz="0" w:space="0" w:color="auto"/>
        <w:left w:val="none" w:sz="0" w:space="0" w:color="auto"/>
        <w:bottom w:val="none" w:sz="0" w:space="0" w:color="auto"/>
        <w:right w:val="none" w:sz="0" w:space="0" w:color="auto"/>
      </w:divBdr>
    </w:div>
    <w:div w:id="1215191884">
      <w:bodyDiv w:val="1"/>
      <w:marLeft w:val="0"/>
      <w:marRight w:val="0"/>
      <w:marTop w:val="0"/>
      <w:marBottom w:val="0"/>
      <w:divBdr>
        <w:top w:val="none" w:sz="0" w:space="0" w:color="auto"/>
        <w:left w:val="none" w:sz="0" w:space="0" w:color="auto"/>
        <w:bottom w:val="none" w:sz="0" w:space="0" w:color="auto"/>
        <w:right w:val="none" w:sz="0" w:space="0" w:color="auto"/>
      </w:divBdr>
    </w:div>
    <w:div w:id="1237932550">
      <w:bodyDiv w:val="1"/>
      <w:marLeft w:val="0"/>
      <w:marRight w:val="0"/>
      <w:marTop w:val="0"/>
      <w:marBottom w:val="0"/>
      <w:divBdr>
        <w:top w:val="none" w:sz="0" w:space="0" w:color="auto"/>
        <w:left w:val="none" w:sz="0" w:space="0" w:color="auto"/>
        <w:bottom w:val="none" w:sz="0" w:space="0" w:color="auto"/>
        <w:right w:val="none" w:sz="0" w:space="0" w:color="auto"/>
      </w:divBdr>
    </w:div>
    <w:div w:id="1283196120">
      <w:bodyDiv w:val="1"/>
      <w:marLeft w:val="0"/>
      <w:marRight w:val="0"/>
      <w:marTop w:val="0"/>
      <w:marBottom w:val="0"/>
      <w:divBdr>
        <w:top w:val="none" w:sz="0" w:space="0" w:color="auto"/>
        <w:left w:val="none" w:sz="0" w:space="0" w:color="auto"/>
        <w:bottom w:val="none" w:sz="0" w:space="0" w:color="auto"/>
        <w:right w:val="none" w:sz="0" w:space="0" w:color="auto"/>
      </w:divBdr>
    </w:div>
    <w:div w:id="1331178559">
      <w:bodyDiv w:val="1"/>
      <w:marLeft w:val="0"/>
      <w:marRight w:val="0"/>
      <w:marTop w:val="0"/>
      <w:marBottom w:val="0"/>
      <w:divBdr>
        <w:top w:val="none" w:sz="0" w:space="0" w:color="auto"/>
        <w:left w:val="none" w:sz="0" w:space="0" w:color="auto"/>
        <w:bottom w:val="none" w:sz="0" w:space="0" w:color="auto"/>
        <w:right w:val="none" w:sz="0" w:space="0" w:color="auto"/>
      </w:divBdr>
    </w:div>
    <w:div w:id="1373190795">
      <w:bodyDiv w:val="1"/>
      <w:marLeft w:val="0"/>
      <w:marRight w:val="0"/>
      <w:marTop w:val="0"/>
      <w:marBottom w:val="0"/>
      <w:divBdr>
        <w:top w:val="none" w:sz="0" w:space="0" w:color="auto"/>
        <w:left w:val="none" w:sz="0" w:space="0" w:color="auto"/>
        <w:bottom w:val="none" w:sz="0" w:space="0" w:color="auto"/>
        <w:right w:val="none" w:sz="0" w:space="0" w:color="auto"/>
      </w:divBdr>
    </w:div>
    <w:div w:id="1374697545">
      <w:bodyDiv w:val="1"/>
      <w:marLeft w:val="0"/>
      <w:marRight w:val="0"/>
      <w:marTop w:val="0"/>
      <w:marBottom w:val="0"/>
      <w:divBdr>
        <w:top w:val="none" w:sz="0" w:space="0" w:color="auto"/>
        <w:left w:val="none" w:sz="0" w:space="0" w:color="auto"/>
        <w:bottom w:val="none" w:sz="0" w:space="0" w:color="auto"/>
        <w:right w:val="none" w:sz="0" w:space="0" w:color="auto"/>
      </w:divBdr>
    </w:div>
    <w:div w:id="1431003692">
      <w:bodyDiv w:val="1"/>
      <w:marLeft w:val="0"/>
      <w:marRight w:val="0"/>
      <w:marTop w:val="0"/>
      <w:marBottom w:val="0"/>
      <w:divBdr>
        <w:top w:val="none" w:sz="0" w:space="0" w:color="auto"/>
        <w:left w:val="none" w:sz="0" w:space="0" w:color="auto"/>
        <w:bottom w:val="none" w:sz="0" w:space="0" w:color="auto"/>
        <w:right w:val="none" w:sz="0" w:space="0" w:color="auto"/>
      </w:divBdr>
    </w:div>
    <w:div w:id="1450584272">
      <w:bodyDiv w:val="1"/>
      <w:marLeft w:val="0"/>
      <w:marRight w:val="0"/>
      <w:marTop w:val="0"/>
      <w:marBottom w:val="0"/>
      <w:divBdr>
        <w:top w:val="none" w:sz="0" w:space="0" w:color="auto"/>
        <w:left w:val="none" w:sz="0" w:space="0" w:color="auto"/>
        <w:bottom w:val="none" w:sz="0" w:space="0" w:color="auto"/>
        <w:right w:val="none" w:sz="0" w:space="0" w:color="auto"/>
      </w:divBdr>
    </w:div>
    <w:div w:id="1457796575">
      <w:bodyDiv w:val="1"/>
      <w:marLeft w:val="0"/>
      <w:marRight w:val="0"/>
      <w:marTop w:val="0"/>
      <w:marBottom w:val="0"/>
      <w:divBdr>
        <w:top w:val="none" w:sz="0" w:space="0" w:color="auto"/>
        <w:left w:val="none" w:sz="0" w:space="0" w:color="auto"/>
        <w:bottom w:val="none" w:sz="0" w:space="0" w:color="auto"/>
        <w:right w:val="none" w:sz="0" w:space="0" w:color="auto"/>
      </w:divBdr>
    </w:div>
    <w:div w:id="1483305813">
      <w:bodyDiv w:val="1"/>
      <w:marLeft w:val="0"/>
      <w:marRight w:val="0"/>
      <w:marTop w:val="0"/>
      <w:marBottom w:val="0"/>
      <w:divBdr>
        <w:top w:val="none" w:sz="0" w:space="0" w:color="auto"/>
        <w:left w:val="none" w:sz="0" w:space="0" w:color="auto"/>
        <w:bottom w:val="none" w:sz="0" w:space="0" w:color="auto"/>
        <w:right w:val="none" w:sz="0" w:space="0" w:color="auto"/>
      </w:divBdr>
    </w:div>
    <w:div w:id="1533151997">
      <w:bodyDiv w:val="1"/>
      <w:marLeft w:val="0"/>
      <w:marRight w:val="0"/>
      <w:marTop w:val="0"/>
      <w:marBottom w:val="0"/>
      <w:divBdr>
        <w:top w:val="none" w:sz="0" w:space="0" w:color="auto"/>
        <w:left w:val="none" w:sz="0" w:space="0" w:color="auto"/>
        <w:bottom w:val="none" w:sz="0" w:space="0" w:color="auto"/>
        <w:right w:val="none" w:sz="0" w:space="0" w:color="auto"/>
      </w:divBdr>
    </w:div>
    <w:div w:id="1560360459">
      <w:bodyDiv w:val="1"/>
      <w:marLeft w:val="0"/>
      <w:marRight w:val="0"/>
      <w:marTop w:val="0"/>
      <w:marBottom w:val="0"/>
      <w:divBdr>
        <w:top w:val="none" w:sz="0" w:space="0" w:color="auto"/>
        <w:left w:val="none" w:sz="0" w:space="0" w:color="auto"/>
        <w:bottom w:val="none" w:sz="0" w:space="0" w:color="auto"/>
        <w:right w:val="none" w:sz="0" w:space="0" w:color="auto"/>
      </w:divBdr>
    </w:div>
    <w:div w:id="1599095999">
      <w:bodyDiv w:val="1"/>
      <w:marLeft w:val="0"/>
      <w:marRight w:val="0"/>
      <w:marTop w:val="0"/>
      <w:marBottom w:val="0"/>
      <w:divBdr>
        <w:top w:val="none" w:sz="0" w:space="0" w:color="auto"/>
        <w:left w:val="none" w:sz="0" w:space="0" w:color="auto"/>
        <w:bottom w:val="none" w:sz="0" w:space="0" w:color="auto"/>
        <w:right w:val="none" w:sz="0" w:space="0" w:color="auto"/>
      </w:divBdr>
      <w:divsChild>
        <w:div w:id="273023919">
          <w:marLeft w:val="0"/>
          <w:marRight w:val="0"/>
          <w:marTop w:val="0"/>
          <w:marBottom w:val="0"/>
          <w:divBdr>
            <w:top w:val="none" w:sz="0" w:space="0" w:color="auto"/>
            <w:left w:val="none" w:sz="0" w:space="0" w:color="auto"/>
            <w:bottom w:val="none" w:sz="0" w:space="0" w:color="auto"/>
            <w:right w:val="none" w:sz="0" w:space="0" w:color="auto"/>
          </w:divBdr>
          <w:divsChild>
            <w:div w:id="872572949">
              <w:marLeft w:val="0"/>
              <w:marRight w:val="0"/>
              <w:marTop w:val="0"/>
              <w:marBottom w:val="0"/>
              <w:divBdr>
                <w:top w:val="none" w:sz="0" w:space="0" w:color="auto"/>
                <w:left w:val="none" w:sz="0" w:space="0" w:color="auto"/>
                <w:bottom w:val="none" w:sz="0" w:space="0" w:color="auto"/>
                <w:right w:val="none" w:sz="0" w:space="0" w:color="auto"/>
              </w:divBdr>
              <w:divsChild>
                <w:div w:id="1027175700">
                  <w:marLeft w:val="0"/>
                  <w:marRight w:val="0"/>
                  <w:marTop w:val="0"/>
                  <w:marBottom w:val="0"/>
                  <w:divBdr>
                    <w:top w:val="none" w:sz="0" w:space="0" w:color="auto"/>
                    <w:left w:val="none" w:sz="0" w:space="0" w:color="auto"/>
                    <w:bottom w:val="none" w:sz="0" w:space="0" w:color="auto"/>
                    <w:right w:val="none" w:sz="0" w:space="0" w:color="auto"/>
                  </w:divBdr>
                  <w:divsChild>
                    <w:div w:id="1357266316">
                      <w:marLeft w:val="0"/>
                      <w:marRight w:val="0"/>
                      <w:marTop w:val="0"/>
                      <w:marBottom w:val="0"/>
                      <w:divBdr>
                        <w:top w:val="none" w:sz="0" w:space="0" w:color="auto"/>
                        <w:left w:val="none" w:sz="0" w:space="0" w:color="auto"/>
                        <w:bottom w:val="none" w:sz="0" w:space="0" w:color="auto"/>
                        <w:right w:val="none" w:sz="0" w:space="0" w:color="auto"/>
                      </w:divBdr>
                      <w:divsChild>
                        <w:div w:id="617956082">
                          <w:marLeft w:val="0"/>
                          <w:marRight w:val="0"/>
                          <w:marTop w:val="0"/>
                          <w:marBottom w:val="0"/>
                          <w:divBdr>
                            <w:top w:val="none" w:sz="0" w:space="0" w:color="auto"/>
                            <w:left w:val="none" w:sz="0" w:space="0" w:color="auto"/>
                            <w:bottom w:val="none" w:sz="0" w:space="0" w:color="auto"/>
                            <w:right w:val="none" w:sz="0" w:space="0" w:color="auto"/>
                          </w:divBdr>
                          <w:divsChild>
                            <w:div w:id="299195309">
                              <w:marLeft w:val="0"/>
                              <w:marRight w:val="0"/>
                              <w:marTop w:val="0"/>
                              <w:marBottom w:val="0"/>
                              <w:divBdr>
                                <w:top w:val="none" w:sz="0" w:space="0" w:color="auto"/>
                                <w:left w:val="none" w:sz="0" w:space="0" w:color="auto"/>
                                <w:bottom w:val="none" w:sz="0" w:space="0" w:color="auto"/>
                                <w:right w:val="none" w:sz="0" w:space="0" w:color="auto"/>
                              </w:divBdr>
                              <w:divsChild>
                                <w:div w:id="80027881">
                                  <w:marLeft w:val="0"/>
                                  <w:marRight w:val="0"/>
                                  <w:marTop w:val="0"/>
                                  <w:marBottom w:val="0"/>
                                  <w:divBdr>
                                    <w:top w:val="none" w:sz="0" w:space="0" w:color="auto"/>
                                    <w:left w:val="none" w:sz="0" w:space="0" w:color="auto"/>
                                    <w:bottom w:val="none" w:sz="0" w:space="0" w:color="auto"/>
                                    <w:right w:val="none" w:sz="0" w:space="0" w:color="auto"/>
                                  </w:divBdr>
                                  <w:divsChild>
                                    <w:div w:id="1708751747">
                                      <w:marLeft w:val="0"/>
                                      <w:marRight w:val="0"/>
                                      <w:marTop w:val="0"/>
                                      <w:marBottom w:val="0"/>
                                      <w:divBdr>
                                        <w:top w:val="none" w:sz="0" w:space="0" w:color="auto"/>
                                        <w:left w:val="none" w:sz="0" w:space="0" w:color="auto"/>
                                        <w:bottom w:val="none" w:sz="0" w:space="0" w:color="auto"/>
                                        <w:right w:val="none" w:sz="0" w:space="0" w:color="auto"/>
                                      </w:divBdr>
                                      <w:divsChild>
                                        <w:div w:id="2021085406">
                                          <w:marLeft w:val="0"/>
                                          <w:marRight w:val="0"/>
                                          <w:marTop w:val="0"/>
                                          <w:marBottom w:val="0"/>
                                          <w:divBdr>
                                            <w:top w:val="none" w:sz="0" w:space="0" w:color="auto"/>
                                            <w:left w:val="none" w:sz="0" w:space="0" w:color="auto"/>
                                            <w:bottom w:val="none" w:sz="0" w:space="0" w:color="auto"/>
                                            <w:right w:val="none" w:sz="0" w:space="0" w:color="auto"/>
                                          </w:divBdr>
                                          <w:divsChild>
                                            <w:div w:id="1004092300">
                                              <w:marLeft w:val="0"/>
                                              <w:marRight w:val="0"/>
                                              <w:marTop w:val="0"/>
                                              <w:marBottom w:val="0"/>
                                              <w:divBdr>
                                                <w:top w:val="none" w:sz="0" w:space="0" w:color="auto"/>
                                                <w:left w:val="none" w:sz="0" w:space="0" w:color="auto"/>
                                                <w:bottom w:val="none" w:sz="0" w:space="0" w:color="auto"/>
                                                <w:right w:val="none" w:sz="0" w:space="0" w:color="auto"/>
                                              </w:divBdr>
                                              <w:divsChild>
                                                <w:div w:id="286475711">
                                                  <w:marLeft w:val="0"/>
                                                  <w:marRight w:val="0"/>
                                                  <w:marTop w:val="0"/>
                                                  <w:marBottom w:val="0"/>
                                                  <w:divBdr>
                                                    <w:top w:val="none" w:sz="0" w:space="0" w:color="auto"/>
                                                    <w:left w:val="none" w:sz="0" w:space="0" w:color="auto"/>
                                                    <w:bottom w:val="none" w:sz="0" w:space="0" w:color="auto"/>
                                                    <w:right w:val="none" w:sz="0" w:space="0" w:color="auto"/>
                                                  </w:divBdr>
                                                  <w:divsChild>
                                                    <w:div w:id="509489923">
                                                      <w:marLeft w:val="0"/>
                                                      <w:marRight w:val="0"/>
                                                      <w:marTop w:val="0"/>
                                                      <w:marBottom w:val="0"/>
                                                      <w:divBdr>
                                                        <w:top w:val="none" w:sz="0" w:space="0" w:color="auto"/>
                                                        <w:left w:val="none" w:sz="0" w:space="0" w:color="auto"/>
                                                        <w:bottom w:val="none" w:sz="0" w:space="0" w:color="auto"/>
                                                        <w:right w:val="none" w:sz="0" w:space="0" w:color="auto"/>
                                                      </w:divBdr>
                                                      <w:divsChild>
                                                        <w:div w:id="1585332850">
                                                          <w:marLeft w:val="0"/>
                                                          <w:marRight w:val="0"/>
                                                          <w:marTop w:val="0"/>
                                                          <w:marBottom w:val="0"/>
                                                          <w:divBdr>
                                                            <w:top w:val="none" w:sz="0" w:space="0" w:color="auto"/>
                                                            <w:left w:val="none" w:sz="0" w:space="0" w:color="auto"/>
                                                            <w:bottom w:val="none" w:sz="0" w:space="0" w:color="auto"/>
                                                            <w:right w:val="none" w:sz="0" w:space="0" w:color="auto"/>
                                                          </w:divBdr>
                                                          <w:divsChild>
                                                            <w:div w:id="1707170468">
                                                              <w:marLeft w:val="0"/>
                                                              <w:marRight w:val="150"/>
                                                              <w:marTop w:val="0"/>
                                                              <w:marBottom w:val="150"/>
                                                              <w:divBdr>
                                                                <w:top w:val="none" w:sz="0" w:space="0" w:color="auto"/>
                                                                <w:left w:val="none" w:sz="0" w:space="0" w:color="auto"/>
                                                                <w:bottom w:val="none" w:sz="0" w:space="0" w:color="auto"/>
                                                                <w:right w:val="none" w:sz="0" w:space="0" w:color="auto"/>
                                                              </w:divBdr>
                                                              <w:divsChild>
                                                                <w:div w:id="1677537726">
                                                                  <w:marLeft w:val="0"/>
                                                                  <w:marRight w:val="0"/>
                                                                  <w:marTop w:val="0"/>
                                                                  <w:marBottom w:val="0"/>
                                                                  <w:divBdr>
                                                                    <w:top w:val="none" w:sz="0" w:space="0" w:color="auto"/>
                                                                    <w:left w:val="none" w:sz="0" w:space="0" w:color="auto"/>
                                                                    <w:bottom w:val="none" w:sz="0" w:space="0" w:color="auto"/>
                                                                    <w:right w:val="none" w:sz="0" w:space="0" w:color="auto"/>
                                                                  </w:divBdr>
                                                                  <w:divsChild>
                                                                    <w:div w:id="1288049087">
                                                                      <w:marLeft w:val="0"/>
                                                                      <w:marRight w:val="0"/>
                                                                      <w:marTop w:val="0"/>
                                                                      <w:marBottom w:val="0"/>
                                                                      <w:divBdr>
                                                                        <w:top w:val="none" w:sz="0" w:space="0" w:color="auto"/>
                                                                        <w:left w:val="none" w:sz="0" w:space="0" w:color="auto"/>
                                                                        <w:bottom w:val="none" w:sz="0" w:space="0" w:color="auto"/>
                                                                        <w:right w:val="none" w:sz="0" w:space="0" w:color="auto"/>
                                                                      </w:divBdr>
                                                                      <w:divsChild>
                                                                        <w:div w:id="1543203476">
                                                                          <w:marLeft w:val="0"/>
                                                                          <w:marRight w:val="0"/>
                                                                          <w:marTop w:val="0"/>
                                                                          <w:marBottom w:val="0"/>
                                                                          <w:divBdr>
                                                                            <w:top w:val="none" w:sz="0" w:space="0" w:color="auto"/>
                                                                            <w:left w:val="none" w:sz="0" w:space="0" w:color="auto"/>
                                                                            <w:bottom w:val="none" w:sz="0" w:space="0" w:color="auto"/>
                                                                            <w:right w:val="none" w:sz="0" w:space="0" w:color="auto"/>
                                                                          </w:divBdr>
                                                                          <w:divsChild>
                                                                            <w:div w:id="277639285">
                                                                              <w:marLeft w:val="0"/>
                                                                              <w:marRight w:val="0"/>
                                                                              <w:marTop w:val="0"/>
                                                                              <w:marBottom w:val="0"/>
                                                                              <w:divBdr>
                                                                                <w:top w:val="none" w:sz="0" w:space="0" w:color="auto"/>
                                                                                <w:left w:val="none" w:sz="0" w:space="0" w:color="auto"/>
                                                                                <w:bottom w:val="none" w:sz="0" w:space="0" w:color="auto"/>
                                                                                <w:right w:val="none" w:sz="0" w:space="0" w:color="auto"/>
                                                                              </w:divBdr>
                                                                              <w:divsChild>
                                                                                <w:div w:id="833959013">
                                                                                  <w:marLeft w:val="0"/>
                                                                                  <w:marRight w:val="0"/>
                                                                                  <w:marTop w:val="0"/>
                                                                                  <w:marBottom w:val="0"/>
                                                                                  <w:divBdr>
                                                                                    <w:top w:val="none" w:sz="0" w:space="0" w:color="auto"/>
                                                                                    <w:left w:val="none" w:sz="0" w:space="0" w:color="auto"/>
                                                                                    <w:bottom w:val="none" w:sz="0" w:space="0" w:color="auto"/>
                                                                                    <w:right w:val="none" w:sz="0" w:space="0" w:color="auto"/>
                                                                                  </w:divBdr>
                                                                                  <w:divsChild>
                                                                                    <w:div w:id="1186286476">
                                                                                      <w:marLeft w:val="720"/>
                                                                                      <w:marRight w:val="0"/>
                                                                                      <w:marTop w:val="0"/>
                                                                                      <w:marBottom w:val="0"/>
                                                                                      <w:divBdr>
                                                                                        <w:top w:val="none" w:sz="0" w:space="0" w:color="auto"/>
                                                                                        <w:left w:val="none" w:sz="0" w:space="0" w:color="auto"/>
                                                                                        <w:bottom w:val="none" w:sz="0" w:space="0" w:color="auto"/>
                                                                                        <w:right w:val="none" w:sz="0" w:space="0" w:color="auto"/>
                                                                                      </w:divBdr>
                                                                                    </w:div>
                                                                                    <w:div w:id="129526057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645846">
      <w:bodyDiv w:val="1"/>
      <w:marLeft w:val="0"/>
      <w:marRight w:val="0"/>
      <w:marTop w:val="0"/>
      <w:marBottom w:val="0"/>
      <w:divBdr>
        <w:top w:val="none" w:sz="0" w:space="0" w:color="auto"/>
        <w:left w:val="none" w:sz="0" w:space="0" w:color="auto"/>
        <w:bottom w:val="none" w:sz="0" w:space="0" w:color="auto"/>
        <w:right w:val="none" w:sz="0" w:space="0" w:color="auto"/>
      </w:divBdr>
    </w:div>
    <w:div w:id="1669944799">
      <w:bodyDiv w:val="1"/>
      <w:marLeft w:val="0"/>
      <w:marRight w:val="0"/>
      <w:marTop w:val="0"/>
      <w:marBottom w:val="0"/>
      <w:divBdr>
        <w:top w:val="none" w:sz="0" w:space="0" w:color="auto"/>
        <w:left w:val="none" w:sz="0" w:space="0" w:color="auto"/>
        <w:bottom w:val="none" w:sz="0" w:space="0" w:color="auto"/>
        <w:right w:val="none" w:sz="0" w:space="0" w:color="auto"/>
      </w:divBdr>
    </w:div>
    <w:div w:id="1752921445">
      <w:bodyDiv w:val="1"/>
      <w:marLeft w:val="0"/>
      <w:marRight w:val="0"/>
      <w:marTop w:val="0"/>
      <w:marBottom w:val="0"/>
      <w:divBdr>
        <w:top w:val="none" w:sz="0" w:space="0" w:color="auto"/>
        <w:left w:val="none" w:sz="0" w:space="0" w:color="auto"/>
        <w:bottom w:val="none" w:sz="0" w:space="0" w:color="auto"/>
        <w:right w:val="none" w:sz="0" w:space="0" w:color="auto"/>
      </w:divBdr>
    </w:div>
    <w:div w:id="1782728156">
      <w:bodyDiv w:val="1"/>
      <w:marLeft w:val="0"/>
      <w:marRight w:val="0"/>
      <w:marTop w:val="0"/>
      <w:marBottom w:val="0"/>
      <w:divBdr>
        <w:top w:val="none" w:sz="0" w:space="0" w:color="auto"/>
        <w:left w:val="none" w:sz="0" w:space="0" w:color="auto"/>
        <w:bottom w:val="none" w:sz="0" w:space="0" w:color="auto"/>
        <w:right w:val="none" w:sz="0" w:space="0" w:color="auto"/>
      </w:divBdr>
    </w:div>
    <w:div w:id="1807891389">
      <w:bodyDiv w:val="1"/>
      <w:marLeft w:val="0"/>
      <w:marRight w:val="0"/>
      <w:marTop w:val="0"/>
      <w:marBottom w:val="0"/>
      <w:divBdr>
        <w:top w:val="none" w:sz="0" w:space="0" w:color="auto"/>
        <w:left w:val="none" w:sz="0" w:space="0" w:color="auto"/>
        <w:bottom w:val="none" w:sz="0" w:space="0" w:color="auto"/>
        <w:right w:val="none" w:sz="0" w:space="0" w:color="auto"/>
      </w:divBdr>
    </w:div>
    <w:div w:id="1907182492">
      <w:bodyDiv w:val="1"/>
      <w:marLeft w:val="0"/>
      <w:marRight w:val="0"/>
      <w:marTop w:val="0"/>
      <w:marBottom w:val="0"/>
      <w:divBdr>
        <w:top w:val="none" w:sz="0" w:space="0" w:color="auto"/>
        <w:left w:val="none" w:sz="0" w:space="0" w:color="auto"/>
        <w:bottom w:val="none" w:sz="0" w:space="0" w:color="auto"/>
        <w:right w:val="none" w:sz="0" w:space="0" w:color="auto"/>
      </w:divBdr>
    </w:div>
    <w:div w:id="1959868854">
      <w:bodyDiv w:val="1"/>
      <w:marLeft w:val="0"/>
      <w:marRight w:val="0"/>
      <w:marTop w:val="0"/>
      <w:marBottom w:val="0"/>
      <w:divBdr>
        <w:top w:val="none" w:sz="0" w:space="0" w:color="auto"/>
        <w:left w:val="none" w:sz="0" w:space="0" w:color="auto"/>
        <w:bottom w:val="none" w:sz="0" w:space="0" w:color="auto"/>
        <w:right w:val="none" w:sz="0" w:space="0" w:color="auto"/>
      </w:divBdr>
    </w:div>
    <w:div w:id="1959988538">
      <w:bodyDiv w:val="1"/>
      <w:marLeft w:val="0"/>
      <w:marRight w:val="0"/>
      <w:marTop w:val="0"/>
      <w:marBottom w:val="0"/>
      <w:divBdr>
        <w:top w:val="none" w:sz="0" w:space="0" w:color="auto"/>
        <w:left w:val="none" w:sz="0" w:space="0" w:color="auto"/>
        <w:bottom w:val="none" w:sz="0" w:space="0" w:color="auto"/>
        <w:right w:val="none" w:sz="0" w:space="0" w:color="auto"/>
      </w:divBdr>
    </w:div>
    <w:div w:id="1970748120">
      <w:bodyDiv w:val="1"/>
      <w:marLeft w:val="0"/>
      <w:marRight w:val="0"/>
      <w:marTop w:val="0"/>
      <w:marBottom w:val="0"/>
      <w:divBdr>
        <w:top w:val="none" w:sz="0" w:space="0" w:color="auto"/>
        <w:left w:val="none" w:sz="0" w:space="0" w:color="auto"/>
        <w:bottom w:val="none" w:sz="0" w:space="0" w:color="auto"/>
        <w:right w:val="none" w:sz="0" w:space="0" w:color="auto"/>
      </w:divBdr>
    </w:div>
    <w:div w:id="1979214457">
      <w:bodyDiv w:val="1"/>
      <w:marLeft w:val="0"/>
      <w:marRight w:val="0"/>
      <w:marTop w:val="0"/>
      <w:marBottom w:val="0"/>
      <w:divBdr>
        <w:top w:val="none" w:sz="0" w:space="0" w:color="auto"/>
        <w:left w:val="none" w:sz="0" w:space="0" w:color="auto"/>
        <w:bottom w:val="none" w:sz="0" w:space="0" w:color="auto"/>
        <w:right w:val="none" w:sz="0" w:space="0" w:color="auto"/>
      </w:divBdr>
    </w:div>
    <w:div w:id="2031836216">
      <w:bodyDiv w:val="1"/>
      <w:marLeft w:val="0"/>
      <w:marRight w:val="0"/>
      <w:marTop w:val="0"/>
      <w:marBottom w:val="0"/>
      <w:divBdr>
        <w:top w:val="none" w:sz="0" w:space="0" w:color="auto"/>
        <w:left w:val="none" w:sz="0" w:space="0" w:color="auto"/>
        <w:bottom w:val="none" w:sz="0" w:space="0" w:color="auto"/>
        <w:right w:val="none" w:sz="0" w:space="0" w:color="auto"/>
      </w:divBdr>
    </w:div>
    <w:div w:id="2048681701">
      <w:marLeft w:val="0"/>
      <w:marRight w:val="0"/>
      <w:marTop w:val="0"/>
      <w:marBottom w:val="0"/>
      <w:divBdr>
        <w:top w:val="none" w:sz="0" w:space="0" w:color="auto"/>
        <w:left w:val="none" w:sz="0" w:space="0" w:color="auto"/>
        <w:bottom w:val="none" w:sz="0" w:space="0" w:color="auto"/>
        <w:right w:val="none" w:sz="0" w:space="0" w:color="auto"/>
      </w:divBdr>
    </w:div>
    <w:div w:id="2048681702">
      <w:marLeft w:val="0"/>
      <w:marRight w:val="0"/>
      <w:marTop w:val="0"/>
      <w:marBottom w:val="0"/>
      <w:divBdr>
        <w:top w:val="none" w:sz="0" w:space="0" w:color="auto"/>
        <w:left w:val="none" w:sz="0" w:space="0" w:color="auto"/>
        <w:bottom w:val="none" w:sz="0" w:space="0" w:color="auto"/>
        <w:right w:val="none" w:sz="0" w:space="0" w:color="auto"/>
      </w:divBdr>
    </w:div>
    <w:div w:id="2048681703">
      <w:marLeft w:val="0"/>
      <w:marRight w:val="0"/>
      <w:marTop w:val="0"/>
      <w:marBottom w:val="0"/>
      <w:divBdr>
        <w:top w:val="none" w:sz="0" w:space="0" w:color="auto"/>
        <w:left w:val="none" w:sz="0" w:space="0" w:color="auto"/>
        <w:bottom w:val="none" w:sz="0" w:space="0" w:color="auto"/>
        <w:right w:val="none" w:sz="0" w:space="0" w:color="auto"/>
      </w:divBdr>
    </w:div>
    <w:div w:id="2048681704">
      <w:marLeft w:val="0"/>
      <w:marRight w:val="0"/>
      <w:marTop w:val="0"/>
      <w:marBottom w:val="0"/>
      <w:divBdr>
        <w:top w:val="none" w:sz="0" w:space="0" w:color="auto"/>
        <w:left w:val="none" w:sz="0" w:space="0" w:color="auto"/>
        <w:bottom w:val="none" w:sz="0" w:space="0" w:color="auto"/>
        <w:right w:val="none" w:sz="0" w:space="0" w:color="auto"/>
      </w:divBdr>
    </w:div>
    <w:div w:id="2048681705">
      <w:marLeft w:val="0"/>
      <w:marRight w:val="0"/>
      <w:marTop w:val="0"/>
      <w:marBottom w:val="0"/>
      <w:divBdr>
        <w:top w:val="none" w:sz="0" w:space="0" w:color="auto"/>
        <w:left w:val="none" w:sz="0" w:space="0" w:color="auto"/>
        <w:bottom w:val="none" w:sz="0" w:space="0" w:color="auto"/>
        <w:right w:val="none" w:sz="0" w:space="0" w:color="auto"/>
      </w:divBdr>
    </w:div>
    <w:div w:id="2048681706">
      <w:marLeft w:val="0"/>
      <w:marRight w:val="0"/>
      <w:marTop w:val="0"/>
      <w:marBottom w:val="0"/>
      <w:divBdr>
        <w:top w:val="none" w:sz="0" w:space="0" w:color="auto"/>
        <w:left w:val="none" w:sz="0" w:space="0" w:color="auto"/>
        <w:bottom w:val="none" w:sz="0" w:space="0" w:color="auto"/>
        <w:right w:val="none" w:sz="0" w:space="0" w:color="auto"/>
      </w:divBdr>
    </w:div>
    <w:div w:id="2048681707">
      <w:marLeft w:val="0"/>
      <w:marRight w:val="0"/>
      <w:marTop w:val="0"/>
      <w:marBottom w:val="0"/>
      <w:divBdr>
        <w:top w:val="none" w:sz="0" w:space="0" w:color="auto"/>
        <w:left w:val="none" w:sz="0" w:space="0" w:color="auto"/>
        <w:bottom w:val="none" w:sz="0" w:space="0" w:color="auto"/>
        <w:right w:val="none" w:sz="0" w:space="0" w:color="auto"/>
      </w:divBdr>
    </w:div>
    <w:div w:id="2048681714">
      <w:marLeft w:val="0"/>
      <w:marRight w:val="0"/>
      <w:marTop w:val="0"/>
      <w:marBottom w:val="0"/>
      <w:divBdr>
        <w:top w:val="none" w:sz="0" w:space="0" w:color="auto"/>
        <w:left w:val="none" w:sz="0" w:space="0" w:color="auto"/>
        <w:bottom w:val="none" w:sz="0" w:space="0" w:color="auto"/>
        <w:right w:val="none" w:sz="0" w:space="0" w:color="auto"/>
      </w:divBdr>
      <w:divsChild>
        <w:div w:id="2048681708">
          <w:marLeft w:val="0"/>
          <w:marRight w:val="0"/>
          <w:marTop w:val="67"/>
          <w:marBottom w:val="0"/>
          <w:divBdr>
            <w:top w:val="none" w:sz="0" w:space="0" w:color="auto"/>
            <w:left w:val="none" w:sz="0" w:space="0" w:color="auto"/>
            <w:bottom w:val="none" w:sz="0" w:space="0" w:color="auto"/>
            <w:right w:val="none" w:sz="0" w:space="0" w:color="auto"/>
          </w:divBdr>
        </w:div>
        <w:div w:id="2048681709">
          <w:marLeft w:val="0"/>
          <w:marRight w:val="0"/>
          <w:marTop w:val="67"/>
          <w:marBottom w:val="0"/>
          <w:divBdr>
            <w:top w:val="none" w:sz="0" w:space="0" w:color="auto"/>
            <w:left w:val="none" w:sz="0" w:space="0" w:color="auto"/>
            <w:bottom w:val="none" w:sz="0" w:space="0" w:color="auto"/>
            <w:right w:val="none" w:sz="0" w:space="0" w:color="auto"/>
          </w:divBdr>
        </w:div>
        <w:div w:id="2048681710">
          <w:marLeft w:val="0"/>
          <w:marRight w:val="0"/>
          <w:marTop w:val="67"/>
          <w:marBottom w:val="0"/>
          <w:divBdr>
            <w:top w:val="none" w:sz="0" w:space="0" w:color="auto"/>
            <w:left w:val="none" w:sz="0" w:space="0" w:color="auto"/>
            <w:bottom w:val="none" w:sz="0" w:space="0" w:color="auto"/>
            <w:right w:val="none" w:sz="0" w:space="0" w:color="auto"/>
          </w:divBdr>
        </w:div>
        <w:div w:id="2048681711">
          <w:marLeft w:val="0"/>
          <w:marRight w:val="0"/>
          <w:marTop w:val="67"/>
          <w:marBottom w:val="0"/>
          <w:divBdr>
            <w:top w:val="none" w:sz="0" w:space="0" w:color="auto"/>
            <w:left w:val="none" w:sz="0" w:space="0" w:color="auto"/>
            <w:bottom w:val="none" w:sz="0" w:space="0" w:color="auto"/>
            <w:right w:val="none" w:sz="0" w:space="0" w:color="auto"/>
          </w:divBdr>
        </w:div>
        <w:div w:id="2048681712">
          <w:marLeft w:val="0"/>
          <w:marRight w:val="0"/>
          <w:marTop w:val="67"/>
          <w:marBottom w:val="0"/>
          <w:divBdr>
            <w:top w:val="none" w:sz="0" w:space="0" w:color="auto"/>
            <w:left w:val="none" w:sz="0" w:space="0" w:color="auto"/>
            <w:bottom w:val="none" w:sz="0" w:space="0" w:color="auto"/>
            <w:right w:val="none" w:sz="0" w:space="0" w:color="auto"/>
          </w:divBdr>
        </w:div>
        <w:div w:id="2048681713">
          <w:marLeft w:val="0"/>
          <w:marRight w:val="0"/>
          <w:marTop w:val="67"/>
          <w:marBottom w:val="0"/>
          <w:divBdr>
            <w:top w:val="none" w:sz="0" w:space="0" w:color="auto"/>
            <w:left w:val="none" w:sz="0" w:space="0" w:color="auto"/>
            <w:bottom w:val="none" w:sz="0" w:space="0" w:color="auto"/>
            <w:right w:val="none" w:sz="0" w:space="0" w:color="auto"/>
          </w:divBdr>
        </w:div>
      </w:divsChild>
    </w:div>
    <w:div w:id="2048681715">
      <w:marLeft w:val="0"/>
      <w:marRight w:val="0"/>
      <w:marTop w:val="0"/>
      <w:marBottom w:val="0"/>
      <w:divBdr>
        <w:top w:val="none" w:sz="0" w:space="0" w:color="auto"/>
        <w:left w:val="none" w:sz="0" w:space="0" w:color="auto"/>
        <w:bottom w:val="none" w:sz="0" w:space="0" w:color="auto"/>
        <w:right w:val="none" w:sz="0" w:space="0" w:color="auto"/>
      </w:divBdr>
    </w:div>
    <w:div w:id="2048681716">
      <w:marLeft w:val="0"/>
      <w:marRight w:val="0"/>
      <w:marTop w:val="0"/>
      <w:marBottom w:val="0"/>
      <w:divBdr>
        <w:top w:val="none" w:sz="0" w:space="0" w:color="auto"/>
        <w:left w:val="none" w:sz="0" w:space="0" w:color="auto"/>
        <w:bottom w:val="none" w:sz="0" w:space="0" w:color="auto"/>
        <w:right w:val="none" w:sz="0" w:space="0" w:color="auto"/>
      </w:divBdr>
    </w:div>
    <w:div w:id="2049061530">
      <w:bodyDiv w:val="1"/>
      <w:marLeft w:val="0"/>
      <w:marRight w:val="0"/>
      <w:marTop w:val="0"/>
      <w:marBottom w:val="0"/>
      <w:divBdr>
        <w:top w:val="none" w:sz="0" w:space="0" w:color="auto"/>
        <w:left w:val="none" w:sz="0" w:space="0" w:color="auto"/>
        <w:bottom w:val="none" w:sz="0" w:space="0" w:color="auto"/>
        <w:right w:val="none" w:sz="0" w:space="0" w:color="auto"/>
      </w:divBdr>
    </w:div>
    <w:div w:id="214265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EBF7F-86E4-445E-9B5B-0775E6335626}">
  <ds:schemaRefs>
    <ds:schemaRef ds:uri="http://schemas.openxmlformats.org/officeDocument/2006/bibliography"/>
  </ds:schemaRefs>
</ds:datastoreItem>
</file>

<file path=customXml/itemProps2.xml><?xml version="1.0" encoding="utf-8"?>
<ds:datastoreItem xmlns:ds="http://schemas.openxmlformats.org/officeDocument/2006/customXml" ds:itemID="{8A826F46-8C60-4EDF-ACDF-7F4075F6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18250</Words>
  <Characters>104025</Characters>
  <Application>Microsoft Office Word</Application>
  <DocSecurity>0</DocSecurity>
  <Lines>866</Lines>
  <Paragraphs>244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MGS</Company>
  <LinksUpToDate>false</LinksUpToDate>
  <CharactersWithSpaces>122031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Samantha (CSS)</dc:creator>
  <cp:lastModifiedBy>Burnett, Monique (CSS)</cp:lastModifiedBy>
  <cp:revision>2</cp:revision>
  <cp:lastPrinted>2016-05-04T13:47:00Z</cp:lastPrinted>
  <dcterms:created xsi:type="dcterms:W3CDTF">2016-09-01T17:03:00Z</dcterms:created>
  <dcterms:modified xsi:type="dcterms:W3CDTF">2016-09-01T17:03:00Z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-1553181472</vt:i4>
  </property>
</Properties>
</file>